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Dodání a montáž černých akustických nehořlavých divadelních z</w:t>
            </w:r>
            <w:r w:rsidRPr="00FC1224">
              <w:rPr>
                <w:rFonts w:ascii="Arial" w:hAnsi="Arial" w:cs="Arial"/>
                <w:sz w:val="20"/>
                <w:szCs w:val="20"/>
              </w:rPr>
              <w:t>á</w:t>
            </w:r>
            <w:r w:rsidRPr="00FC1224">
              <w:rPr>
                <w:rFonts w:ascii="Arial" w:hAnsi="Arial" w:cs="Arial"/>
                <w:sz w:val="20"/>
                <w:szCs w:val="20"/>
              </w:rPr>
              <w:t>věsů (22 kusů) pro kulturní dům v Bílině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P25V00000151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12BC4DAA" w:rsidR="00EE4DD5" w:rsidRDefault="003A37E2" w:rsidP="004851C5">
      <w:pPr>
        <w:spacing w:after="0" w:line="240" w:lineRule="auto"/>
      </w:pPr>
      <w:r>
        <w:t>Účastník předloží seznam min. 3 zakázek obdobného charakteru a rozsahu realizovaných za posle</w:t>
      </w:r>
      <w:r>
        <w:t>d</w:t>
      </w:r>
      <w:r>
        <w:t xml:space="preserve">ních 5 </w:t>
      </w:r>
      <w:r w:rsidRPr="001D3AE4">
        <w:t xml:space="preserve">let v minimálním objemu </w:t>
      </w:r>
      <w:r>
        <w:t>200</w:t>
      </w:r>
      <w:r w:rsidRPr="001D3AE4">
        <w:t xml:space="preserve"> 000 Kč včetně DPH na každou uvedenou akci, jejichž předmětem byla </w:t>
      </w:r>
      <w:r>
        <w:t>výměna, dodání, montáž nehořlavých závěsů</w:t>
      </w:r>
      <w:r w:rsidRPr="001D3AE4">
        <w:t>.</w:t>
      </w:r>
      <w:r>
        <w:t xml:space="preserve"> </w:t>
      </w:r>
      <w:r w:rsidRPr="001D3AE4">
        <w:t xml:space="preserve"> Seznam</w:t>
      </w:r>
      <w:r>
        <w:t xml:space="preserve"> realizovaných zakázek doloží formou čestného prohlášení, které musí být podepsáno oprávněnou osobou/osobami. Součástí seznamu bude uvedení názvu a popisu zakázky, termínu realizace, celkové hodnoty, identifikace objednatele, kontaktní osoby s uvedením jména a příjmení a kontaktních údajů (telefon a e-mailová adresa), u níž může zadavatel účastníkem prohlášené údaje ověřit.</w:t>
      </w:r>
    </w:p>
    <w:p w14:paraId="5CFC3A03" w14:textId="77777777" w:rsidR="003A37E2" w:rsidRPr="00FC1224" w:rsidRDefault="003A37E2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FFF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FFF00" w16cid:durableId="2BEAEA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33DB9" w14:textId="77777777" w:rsidR="0060467C" w:rsidRDefault="0060467C" w:rsidP="00313CBA">
      <w:pPr>
        <w:spacing w:after="0" w:line="240" w:lineRule="auto"/>
      </w:pPr>
      <w:r>
        <w:separator/>
      </w:r>
    </w:p>
  </w:endnote>
  <w:endnote w:type="continuationSeparator" w:id="0">
    <w:p w14:paraId="09A95AFA" w14:textId="77777777" w:rsidR="0060467C" w:rsidRDefault="0060467C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</w:t>
    </w:r>
    <w:r w:rsidRPr="006D2D90">
      <w:rPr>
        <w:i/>
      </w:rPr>
      <w:t>a</w:t>
    </w:r>
    <w:r w:rsidRPr="006D2D90">
      <w:rPr>
        <w:i/>
      </w:rPr>
      <w:t>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9FFB6" w14:textId="77777777" w:rsidR="0060467C" w:rsidRDefault="0060467C" w:rsidP="00313CBA">
      <w:pPr>
        <w:spacing w:after="0" w:line="240" w:lineRule="auto"/>
      </w:pPr>
      <w:r>
        <w:separator/>
      </w:r>
    </w:p>
  </w:footnote>
  <w:footnote w:type="continuationSeparator" w:id="0">
    <w:p w14:paraId="0968E5A7" w14:textId="77777777" w:rsidR="0060467C" w:rsidRDefault="0060467C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šková Jaroslava Ing.">
    <w15:presenceInfo w15:providerId="AD" w15:userId="S-1-5-21-3258744772-3877416788-1601342957-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2346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37E2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0467C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0A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F123-C098-4C0B-8790-5586F174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Herzingerová Jana</dc:creator>
  <cp:lastModifiedBy>uctarna</cp:lastModifiedBy>
  <cp:revision>2</cp:revision>
  <cp:lastPrinted>2023-05-15T14:35:00Z</cp:lastPrinted>
  <dcterms:created xsi:type="dcterms:W3CDTF">2025-09-17T07:03:00Z</dcterms:created>
  <dcterms:modified xsi:type="dcterms:W3CDTF">2025-09-17T07:03:00Z</dcterms:modified>
</cp:coreProperties>
</file>