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702D2D05" w14:textId="77777777" w:rsidR="00094951" w:rsidRPr="00A62EB3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– Oprava komunikace, chodníků, parkovacích ploch a veřejného osvětlení v ulici Síbova – část I,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P25V00000159</w:t>
            </w:r>
          </w:p>
        </w:tc>
      </w:tr>
    </w:tbl>
    <w:p w14:paraId="15F0B285" w14:textId="77777777" w:rsidR="00094951" w:rsidRPr="00A62EB3" w:rsidRDefault="00094951" w:rsidP="00732B7D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879F19F" w14:textId="4D242D9D" w:rsidR="00094951" w:rsidRPr="00A62EB3" w:rsidRDefault="00094951" w:rsidP="00A62EB3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15C0B1F" w14:textId="319AF33E" w:rsidR="00732B7D" w:rsidRPr="00A62EB3" w:rsidRDefault="00732B7D" w:rsidP="00A62EB3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006EDECB" w:rsidR="0027599E" w:rsidRPr="00A62EB3" w:rsidRDefault="00A97045" w:rsidP="00A62EB3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458CE757" w14:textId="568FB674" w:rsidR="00793A9B" w:rsidRDefault="00CC4150" w:rsidP="00A62EB3">
      <w:pPr>
        <w:spacing w:after="120" w:line="276" w:lineRule="auto"/>
        <w:ind w:left="425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A62EB3">
            <w:rPr>
              <w:rFonts w:ascii="Arial" w:eastAsia="Times New Roman" w:hAnsi="Arial" w:cs="Arial"/>
              <w:sz w:val="20"/>
              <w:lang w:eastAsia="cs-CZ"/>
            </w:rPr>
            <w:t>pojištění profesní odpovědnosti dle zákona č. 360/1992 Sb. o výkonu povolání autorizovaných architektů a o výkonu povolání autorizovaných inženýrů a techniků činných ve výstavbě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A62EB3">
        <w:rPr>
          <w:rFonts w:ascii="Arial" w:eastAsia="Times New Roman" w:hAnsi="Arial" w:cs="Arial"/>
          <w:sz w:val="20"/>
          <w:lang w:eastAsia="cs-CZ"/>
        </w:rPr>
        <w:t>hodnoty zakázky.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6F643A82" w14:textId="54505948" w:rsidR="00FC43A3" w:rsidRPr="00A62EB3" w:rsidRDefault="003312E8" w:rsidP="00A62EB3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2EBE3EC" w14:textId="248219CE" w:rsidR="00FD5BD5" w:rsidRPr="00A62EB3" w:rsidRDefault="0085688B" w:rsidP="00A62EB3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A62EB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tabulku proškrtne. </w:t>
      </w:r>
      <w:r w:rsidR="00FD5BD5" w:rsidRPr="00A62EB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1E27AD3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A62EB3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330137498">
    <w:abstractNumId w:val="16"/>
  </w:num>
  <w:num w:numId="2" w16cid:durableId="1970696178">
    <w:abstractNumId w:val="7"/>
  </w:num>
  <w:num w:numId="3" w16cid:durableId="1567642945">
    <w:abstractNumId w:val="0"/>
  </w:num>
  <w:num w:numId="4" w16cid:durableId="1061714695">
    <w:abstractNumId w:val="17"/>
  </w:num>
  <w:num w:numId="5" w16cid:durableId="1217663319">
    <w:abstractNumId w:val="31"/>
  </w:num>
  <w:num w:numId="6" w16cid:durableId="576135164">
    <w:abstractNumId w:val="30"/>
  </w:num>
  <w:num w:numId="7" w16cid:durableId="722799123">
    <w:abstractNumId w:val="4"/>
  </w:num>
  <w:num w:numId="8" w16cid:durableId="759445755">
    <w:abstractNumId w:val="23"/>
  </w:num>
  <w:num w:numId="9" w16cid:durableId="1601451805">
    <w:abstractNumId w:val="10"/>
  </w:num>
  <w:num w:numId="10" w16cid:durableId="1054430290">
    <w:abstractNumId w:val="24"/>
  </w:num>
  <w:num w:numId="11" w16cid:durableId="1466922133">
    <w:abstractNumId w:val="2"/>
  </w:num>
  <w:num w:numId="12" w16cid:durableId="1269658009">
    <w:abstractNumId w:val="28"/>
  </w:num>
  <w:num w:numId="13" w16cid:durableId="1305546773">
    <w:abstractNumId w:val="35"/>
  </w:num>
  <w:num w:numId="14" w16cid:durableId="157966852">
    <w:abstractNumId w:val="21"/>
  </w:num>
  <w:num w:numId="15" w16cid:durableId="532500843">
    <w:abstractNumId w:val="9"/>
  </w:num>
  <w:num w:numId="16" w16cid:durableId="1706828749">
    <w:abstractNumId w:val="27"/>
  </w:num>
  <w:num w:numId="17" w16cid:durableId="1035816130">
    <w:abstractNumId w:val="33"/>
  </w:num>
  <w:num w:numId="18" w16cid:durableId="1696346243">
    <w:abstractNumId w:val="37"/>
  </w:num>
  <w:num w:numId="19" w16cid:durableId="1254704174">
    <w:abstractNumId w:val="8"/>
  </w:num>
  <w:num w:numId="20" w16cid:durableId="1667593881">
    <w:abstractNumId w:val="25"/>
  </w:num>
  <w:num w:numId="21" w16cid:durableId="1742211662">
    <w:abstractNumId w:val="19"/>
  </w:num>
  <w:num w:numId="22" w16cid:durableId="981083195">
    <w:abstractNumId w:val="13"/>
  </w:num>
  <w:num w:numId="23" w16cid:durableId="643778214">
    <w:abstractNumId w:val="14"/>
  </w:num>
  <w:num w:numId="24" w16cid:durableId="592976710">
    <w:abstractNumId w:val="1"/>
  </w:num>
  <w:num w:numId="25" w16cid:durableId="480466821">
    <w:abstractNumId w:val="34"/>
  </w:num>
  <w:num w:numId="26" w16cid:durableId="1529292860">
    <w:abstractNumId w:val="15"/>
  </w:num>
  <w:num w:numId="27" w16cid:durableId="803352266">
    <w:abstractNumId w:val="32"/>
  </w:num>
  <w:num w:numId="28" w16cid:durableId="845823864">
    <w:abstractNumId w:val="5"/>
  </w:num>
  <w:num w:numId="29" w16cid:durableId="573590190">
    <w:abstractNumId w:val="22"/>
  </w:num>
  <w:num w:numId="30" w16cid:durableId="1591500485">
    <w:abstractNumId w:val="3"/>
  </w:num>
  <w:num w:numId="31" w16cid:durableId="1823156824">
    <w:abstractNumId w:val="20"/>
  </w:num>
  <w:num w:numId="32" w16cid:durableId="1253277305">
    <w:abstractNumId w:val="26"/>
  </w:num>
  <w:num w:numId="33" w16cid:durableId="1314798887">
    <w:abstractNumId w:val="29"/>
  </w:num>
  <w:num w:numId="34" w16cid:durableId="1689596460">
    <w:abstractNumId w:val="6"/>
  </w:num>
  <w:num w:numId="35" w16cid:durableId="160121006">
    <w:abstractNumId w:val="18"/>
  </w:num>
  <w:num w:numId="36" w16cid:durableId="1834948661">
    <w:abstractNumId w:val="36"/>
  </w:num>
  <w:num w:numId="37" w16cid:durableId="2051953796">
    <w:abstractNumId w:val="11"/>
  </w:num>
  <w:num w:numId="38" w16cid:durableId="1025596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064D5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62EB3"/>
    <w:rsid w:val="00A73EB2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73EB2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Pavla Černá</cp:lastModifiedBy>
  <cp:revision>10</cp:revision>
  <cp:lastPrinted>2023-05-15T12:49:00Z</cp:lastPrinted>
  <dcterms:created xsi:type="dcterms:W3CDTF">2025-06-04T13:15:00Z</dcterms:created>
  <dcterms:modified xsi:type="dcterms:W3CDTF">2025-09-23T09:59:00Z</dcterms:modified>
</cp:coreProperties>
</file>