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143A3" w14:textId="77777777" w:rsidR="00BB03EB" w:rsidRPr="00BB03EB" w:rsidRDefault="00BB03EB" w:rsidP="00BB03EB">
      <w:pPr>
        <w:spacing w:line="280" w:lineRule="atLeast"/>
        <w:jc w:val="both"/>
        <w:rPr>
          <w:rFonts w:eastAsia="Arial" w:cs="Arial"/>
          <w:b/>
          <w:bCs/>
          <w:sz w:val="40"/>
          <w:szCs w:val="44"/>
          <w:lang w:eastAsia="en-US"/>
        </w:rPr>
      </w:pPr>
    </w:p>
    <w:p w14:paraId="722A6DC8" w14:textId="77777777" w:rsidR="00BB03EB" w:rsidRPr="00BB03EB" w:rsidRDefault="00BB03EB" w:rsidP="00BB03EB">
      <w:pPr>
        <w:spacing w:line="280" w:lineRule="atLeast"/>
        <w:jc w:val="both"/>
        <w:rPr>
          <w:rFonts w:eastAsia="Arial" w:cs="Arial"/>
          <w:b/>
          <w:bCs/>
          <w:sz w:val="40"/>
          <w:szCs w:val="44"/>
          <w:lang w:eastAsia="en-US"/>
        </w:rPr>
      </w:pPr>
    </w:p>
    <w:p w14:paraId="209F567C" w14:textId="77777777" w:rsidR="00BB03EB" w:rsidRPr="00BB03EB" w:rsidRDefault="00BB03EB" w:rsidP="00BB03EB">
      <w:pPr>
        <w:spacing w:line="280" w:lineRule="atLeast"/>
        <w:jc w:val="both"/>
        <w:rPr>
          <w:rFonts w:eastAsia="Arial" w:cs="Arial"/>
          <w:b/>
          <w:bCs/>
          <w:sz w:val="40"/>
          <w:szCs w:val="44"/>
          <w:lang w:eastAsia="en-US"/>
        </w:rPr>
      </w:pPr>
    </w:p>
    <w:p w14:paraId="07334CE9" w14:textId="77777777" w:rsidR="00BB03EB" w:rsidRPr="00BB03EB" w:rsidRDefault="00BB03EB" w:rsidP="00BB03EB">
      <w:pPr>
        <w:spacing w:line="280" w:lineRule="atLeast"/>
        <w:jc w:val="both"/>
        <w:rPr>
          <w:rFonts w:eastAsia="Arial" w:cs="Arial"/>
          <w:b/>
          <w:bCs/>
          <w:sz w:val="40"/>
          <w:szCs w:val="44"/>
          <w:lang w:eastAsia="en-US"/>
        </w:rPr>
      </w:pPr>
    </w:p>
    <w:p w14:paraId="487F1A10" w14:textId="77777777" w:rsidR="00BB03EB" w:rsidRPr="00BB03EB" w:rsidRDefault="00BB03EB" w:rsidP="00BB03EB">
      <w:pPr>
        <w:spacing w:line="280" w:lineRule="atLeast"/>
        <w:jc w:val="both"/>
        <w:rPr>
          <w:rFonts w:eastAsia="Arial" w:cs="Arial"/>
          <w:b/>
          <w:bCs/>
          <w:sz w:val="40"/>
          <w:szCs w:val="44"/>
          <w:lang w:eastAsia="en-US"/>
        </w:rPr>
      </w:pPr>
    </w:p>
    <w:p w14:paraId="58ED9D86" w14:textId="77777777" w:rsidR="00BB03EB" w:rsidRPr="00BB03EB" w:rsidRDefault="00BB03EB" w:rsidP="00BB03EB">
      <w:pPr>
        <w:spacing w:line="280" w:lineRule="atLeast"/>
        <w:jc w:val="both"/>
        <w:rPr>
          <w:rFonts w:eastAsia="Arial" w:cs="Arial"/>
          <w:b/>
          <w:bCs/>
          <w:sz w:val="40"/>
          <w:szCs w:val="44"/>
          <w:lang w:eastAsia="en-US"/>
        </w:rPr>
      </w:pPr>
    </w:p>
    <w:p w14:paraId="3C5495F2" w14:textId="77777777" w:rsidR="00BB03EB" w:rsidRPr="00BB03EB" w:rsidRDefault="00BB03EB" w:rsidP="00BB03EB">
      <w:pPr>
        <w:spacing w:line="280" w:lineRule="atLeast"/>
        <w:jc w:val="both"/>
        <w:rPr>
          <w:rFonts w:eastAsia="Arial" w:cs="Arial"/>
          <w:b/>
          <w:bCs/>
          <w:sz w:val="40"/>
          <w:szCs w:val="44"/>
          <w:lang w:eastAsia="en-US"/>
        </w:rPr>
      </w:pPr>
    </w:p>
    <w:p w14:paraId="4091311B" w14:textId="77777777" w:rsidR="00BB03EB" w:rsidRPr="00BB03EB" w:rsidRDefault="00BB03EB" w:rsidP="00BB03EB">
      <w:pPr>
        <w:spacing w:line="280" w:lineRule="atLeast"/>
        <w:jc w:val="both"/>
        <w:rPr>
          <w:rFonts w:eastAsia="Arial" w:cs="Arial"/>
          <w:b/>
          <w:bCs/>
          <w:sz w:val="40"/>
          <w:szCs w:val="44"/>
          <w:lang w:eastAsia="en-US"/>
        </w:rPr>
      </w:pPr>
    </w:p>
    <w:p w14:paraId="6D454B8C" w14:textId="2B6C93F5" w:rsidR="00BB03EB" w:rsidRPr="00BB03EB" w:rsidRDefault="00BB03EB" w:rsidP="00BB03EB">
      <w:pPr>
        <w:spacing w:line="280" w:lineRule="atLeast"/>
        <w:jc w:val="both"/>
        <w:rPr>
          <w:rFonts w:eastAsia="Arial" w:cs="Arial"/>
          <w:b/>
          <w:bCs/>
          <w:sz w:val="40"/>
          <w:szCs w:val="44"/>
          <w:lang w:eastAsia="en-US"/>
        </w:rPr>
      </w:pPr>
      <w:r w:rsidRPr="00BB03EB">
        <w:rPr>
          <w:rFonts w:eastAsia="Arial" w:cs="Arial"/>
          <w:b/>
          <w:bCs/>
          <w:sz w:val="40"/>
          <w:szCs w:val="44"/>
          <w:lang w:eastAsia="en-US"/>
        </w:rPr>
        <w:t>Technická část zadávací dokumentace</w:t>
      </w:r>
      <w:r w:rsidR="00443BB3">
        <w:rPr>
          <w:rFonts w:eastAsia="Arial" w:cs="Arial"/>
          <w:b/>
          <w:bCs/>
          <w:sz w:val="40"/>
          <w:szCs w:val="44"/>
          <w:lang w:eastAsia="en-US"/>
        </w:rPr>
        <w:t xml:space="preserve"> Města Bíliny</w:t>
      </w:r>
      <w:r w:rsidRPr="00BB03EB">
        <w:rPr>
          <w:rFonts w:eastAsia="Arial" w:cs="Arial"/>
          <w:b/>
          <w:bCs/>
          <w:sz w:val="40"/>
          <w:szCs w:val="44"/>
          <w:lang w:eastAsia="en-US"/>
        </w:rPr>
        <w:t xml:space="preserve"> – rozsah pojištění</w:t>
      </w:r>
    </w:p>
    <w:p w14:paraId="3A912A60" w14:textId="4F50E3F0" w:rsidR="009A09AA" w:rsidRPr="00BB03EB" w:rsidRDefault="009A09AA">
      <w:pPr>
        <w:spacing w:after="160" w:line="259" w:lineRule="auto"/>
        <w:rPr>
          <w:rFonts w:cs="Arial"/>
          <w:b/>
          <w:bCs/>
          <w:szCs w:val="20"/>
        </w:rPr>
      </w:pPr>
      <w:r w:rsidRPr="00BB03EB">
        <w:rPr>
          <w:rFonts w:cs="Arial"/>
          <w:b/>
          <w:bCs/>
          <w:szCs w:val="20"/>
        </w:rPr>
        <w:br w:type="page"/>
      </w:r>
    </w:p>
    <w:p w14:paraId="71CEBC1A" w14:textId="61580920" w:rsidR="00942F57" w:rsidRPr="00BB03EB" w:rsidRDefault="00942F57" w:rsidP="00942F57">
      <w:pPr>
        <w:tabs>
          <w:tab w:val="num" w:pos="426"/>
          <w:tab w:val="left" w:pos="2127"/>
        </w:tabs>
        <w:spacing w:line="320" w:lineRule="atLeast"/>
        <w:jc w:val="both"/>
        <w:rPr>
          <w:rFonts w:cs="Arial"/>
          <w:bCs/>
          <w:szCs w:val="20"/>
        </w:rPr>
      </w:pPr>
      <w:r w:rsidRPr="00BB03EB">
        <w:rPr>
          <w:rFonts w:cs="Arial"/>
          <w:b/>
          <w:bCs/>
          <w:szCs w:val="20"/>
        </w:rPr>
        <w:lastRenderedPageBreak/>
        <w:t>Pojistník:</w:t>
      </w:r>
      <w:r w:rsidRPr="00BB03EB">
        <w:rPr>
          <w:rFonts w:cs="Arial"/>
          <w:b/>
          <w:bCs/>
          <w:szCs w:val="20"/>
        </w:rPr>
        <w:tab/>
      </w:r>
      <w:r w:rsidRPr="00BB03EB">
        <w:rPr>
          <w:rFonts w:cs="Arial"/>
          <w:bCs/>
          <w:szCs w:val="20"/>
        </w:rPr>
        <w:t xml:space="preserve">Město </w:t>
      </w:r>
      <w:r w:rsidR="004C6F7E" w:rsidRPr="00BB03EB">
        <w:rPr>
          <w:rFonts w:cs="Arial"/>
          <w:bCs/>
          <w:szCs w:val="20"/>
        </w:rPr>
        <w:t>Bílina</w:t>
      </w:r>
      <w:r w:rsidRPr="00BB03EB">
        <w:rPr>
          <w:rFonts w:cs="Arial"/>
          <w:bCs/>
          <w:szCs w:val="20"/>
        </w:rPr>
        <w:t xml:space="preserve"> (IČ 00</w:t>
      </w:r>
      <w:r w:rsidR="008033B9" w:rsidRPr="00BB03EB">
        <w:rPr>
          <w:rFonts w:cs="Arial"/>
          <w:bCs/>
          <w:szCs w:val="20"/>
        </w:rPr>
        <w:t>266230</w:t>
      </w:r>
      <w:r w:rsidRPr="00BB03EB">
        <w:rPr>
          <w:rFonts w:cs="Arial"/>
          <w:bCs/>
          <w:szCs w:val="20"/>
        </w:rPr>
        <w:t>)</w:t>
      </w:r>
    </w:p>
    <w:p w14:paraId="570AE0EA" w14:textId="77777777" w:rsidR="00705A88" w:rsidRPr="00BB03EB" w:rsidRDefault="00705A88" w:rsidP="00942F57">
      <w:pPr>
        <w:tabs>
          <w:tab w:val="num" w:pos="426"/>
          <w:tab w:val="left" w:pos="2127"/>
        </w:tabs>
        <w:spacing w:line="320" w:lineRule="atLeast"/>
        <w:jc w:val="both"/>
        <w:rPr>
          <w:rFonts w:cs="Arial"/>
          <w:bCs/>
          <w:szCs w:val="20"/>
        </w:rPr>
      </w:pPr>
    </w:p>
    <w:p w14:paraId="5ED50C33" w14:textId="0C4CB366" w:rsidR="00E8178C" w:rsidRPr="00BB03EB" w:rsidRDefault="00942F57" w:rsidP="00942F57">
      <w:pPr>
        <w:tabs>
          <w:tab w:val="num" w:pos="426"/>
          <w:tab w:val="left" w:pos="2127"/>
        </w:tabs>
        <w:spacing w:line="320" w:lineRule="atLeast"/>
        <w:jc w:val="both"/>
        <w:rPr>
          <w:rFonts w:cs="Arial"/>
          <w:b/>
          <w:szCs w:val="20"/>
        </w:rPr>
      </w:pPr>
      <w:r w:rsidRPr="00BB03EB">
        <w:rPr>
          <w:rFonts w:cs="Arial"/>
          <w:b/>
          <w:szCs w:val="20"/>
        </w:rPr>
        <w:t xml:space="preserve">Časová platnost </w:t>
      </w:r>
      <w:r w:rsidR="00E8178C" w:rsidRPr="00BB03EB">
        <w:rPr>
          <w:rFonts w:cs="Arial"/>
          <w:b/>
          <w:szCs w:val="20"/>
        </w:rPr>
        <w:tab/>
      </w:r>
      <w:r w:rsidR="00E8178C" w:rsidRPr="00BB03EB">
        <w:rPr>
          <w:rFonts w:cs="Arial"/>
          <w:bCs/>
          <w:szCs w:val="20"/>
        </w:rPr>
        <w:t>doba neurčitá</w:t>
      </w:r>
    </w:p>
    <w:p w14:paraId="52A7CDCA" w14:textId="2194E45E" w:rsidR="00E83E34" w:rsidRPr="00BB03EB" w:rsidRDefault="00E8178C" w:rsidP="00942F57">
      <w:pPr>
        <w:tabs>
          <w:tab w:val="num" w:pos="426"/>
          <w:tab w:val="left" w:pos="2127"/>
        </w:tabs>
        <w:spacing w:line="320" w:lineRule="atLeast"/>
        <w:jc w:val="both"/>
        <w:rPr>
          <w:rFonts w:cs="Arial"/>
          <w:bCs/>
          <w:szCs w:val="20"/>
        </w:rPr>
      </w:pPr>
      <w:r w:rsidRPr="00BB03EB">
        <w:rPr>
          <w:rFonts w:cs="Arial"/>
          <w:b/>
          <w:szCs w:val="20"/>
        </w:rPr>
        <w:t>p</w:t>
      </w:r>
      <w:r w:rsidR="00942F57" w:rsidRPr="00BB03EB">
        <w:rPr>
          <w:rFonts w:cs="Arial"/>
          <w:b/>
          <w:szCs w:val="20"/>
        </w:rPr>
        <w:t>ojištění:</w:t>
      </w:r>
      <w:r w:rsidR="00942F57" w:rsidRPr="00BB03EB">
        <w:rPr>
          <w:rFonts w:cs="Arial"/>
          <w:bCs/>
          <w:szCs w:val="20"/>
        </w:rPr>
        <w:tab/>
      </w:r>
    </w:p>
    <w:p w14:paraId="6CD50EE6" w14:textId="05BFAEAC" w:rsidR="00E83E34" w:rsidRPr="00BB03EB" w:rsidRDefault="00942F57" w:rsidP="00942F57">
      <w:pPr>
        <w:spacing w:line="320" w:lineRule="atLeast"/>
        <w:jc w:val="both"/>
        <w:rPr>
          <w:rFonts w:cs="Arial"/>
          <w:bCs/>
          <w:szCs w:val="20"/>
        </w:rPr>
      </w:pPr>
      <w:r w:rsidRPr="00BB03EB">
        <w:rPr>
          <w:rFonts w:cs="Arial"/>
          <w:bCs/>
          <w:szCs w:val="20"/>
        </w:rPr>
        <w:tab/>
      </w:r>
    </w:p>
    <w:p w14:paraId="4E09EFAF" w14:textId="318423AF" w:rsidR="000E28DB" w:rsidRPr="00BB03EB" w:rsidRDefault="00942F57" w:rsidP="000E28DB">
      <w:pPr>
        <w:numPr>
          <w:ilvl w:val="0"/>
          <w:numId w:val="1"/>
        </w:numPr>
        <w:tabs>
          <w:tab w:val="clear" w:pos="720"/>
          <w:tab w:val="num" w:pos="567"/>
        </w:tabs>
        <w:spacing w:line="320" w:lineRule="atLeast"/>
        <w:ind w:left="567" w:hanging="567"/>
        <w:jc w:val="both"/>
        <w:rPr>
          <w:rFonts w:cs="Arial"/>
          <w:b/>
          <w:bCs/>
          <w:sz w:val="22"/>
          <w:szCs w:val="22"/>
        </w:rPr>
      </w:pPr>
      <w:r w:rsidRPr="00BB03EB">
        <w:rPr>
          <w:rFonts w:cs="Arial"/>
          <w:b/>
          <w:bCs/>
          <w:sz w:val="22"/>
          <w:szCs w:val="22"/>
        </w:rPr>
        <w:t xml:space="preserve">Živelní pojištění majetku </w:t>
      </w:r>
    </w:p>
    <w:p w14:paraId="35039847" w14:textId="77777777" w:rsidR="000E28DB" w:rsidRPr="00BB03EB" w:rsidRDefault="000E28DB"/>
    <w:p w14:paraId="400E7C9B" w14:textId="32BE296C" w:rsidR="00CF0F49" w:rsidRPr="00BB03EB" w:rsidRDefault="00CF0F49" w:rsidP="00E8178C">
      <w:pPr>
        <w:tabs>
          <w:tab w:val="num" w:pos="426"/>
          <w:tab w:val="left" w:pos="2127"/>
        </w:tabs>
        <w:spacing w:line="320" w:lineRule="atLeast"/>
        <w:jc w:val="both"/>
        <w:rPr>
          <w:rFonts w:cs="Arial"/>
          <w:bCs/>
          <w:szCs w:val="20"/>
        </w:rPr>
      </w:pPr>
      <w:r w:rsidRPr="00BB03EB">
        <w:rPr>
          <w:rFonts w:cs="Arial"/>
          <w:b/>
          <w:bCs/>
          <w:szCs w:val="20"/>
        </w:rPr>
        <w:t>Pojištěné subjekty:</w:t>
      </w:r>
      <w:r w:rsidRPr="00BB03EB">
        <w:rPr>
          <w:rFonts w:cs="Arial"/>
          <w:b/>
          <w:bCs/>
          <w:szCs w:val="20"/>
        </w:rPr>
        <w:tab/>
      </w:r>
      <w:r w:rsidR="004C6F7E" w:rsidRPr="00BB03EB">
        <w:rPr>
          <w:rFonts w:cs="Arial"/>
          <w:bCs/>
          <w:szCs w:val="20"/>
        </w:rPr>
        <w:t xml:space="preserve">Město Bílina (IČ </w:t>
      </w:r>
      <w:r w:rsidR="008033B9" w:rsidRPr="00BB03EB">
        <w:rPr>
          <w:rFonts w:cs="Arial"/>
          <w:bCs/>
          <w:szCs w:val="20"/>
        </w:rPr>
        <w:t>00266230</w:t>
      </w:r>
      <w:r w:rsidR="004C6F7E" w:rsidRPr="00BB03EB">
        <w:rPr>
          <w:rFonts w:cs="Arial"/>
          <w:bCs/>
          <w:szCs w:val="20"/>
        </w:rPr>
        <w:t>)</w:t>
      </w:r>
    </w:p>
    <w:p w14:paraId="522163AF" w14:textId="77777777" w:rsidR="004C6F7E" w:rsidRPr="00BB03EB" w:rsidRDefault="004C6F7E" w:rsidP="00E8178C">
      <w:pPr>
        <w:tabs>
          <w:tab w:val="num" w:pos="426"/>
          <w:tab w:val="left" w:pos="2127"/>
        </w:tabs>
        <w:spacing w:line="320" w:lineRule="atLeast"/>
        <w:ind w:left="2124" w:hanging="2124"/>
        <w:jc w:val="both"/>
      </w:pPr>
    </w:p>
    <w:p w14:paraId="5A49FA96" w14:textId="7569A2EB" w:rsidR="00301E4B" w:rsidRPr="00BB03EB" w:rsidRDefault="00145388" w:rsidP="00C30FCB">
      <w:pPr>
        <w:tabs>
          <w:tab w:val="num" w:pos="426"/>
          <w:tab w:val="left" w:pos="2127"/>
        </w:tabs>
        <w:spacing w:line="320" w:lineRule="atLeast"/>
        <w:ind w:left="2124" w:hanging="2124"/>
        <w:jc w:val="both"/>
      </w:pPr>
      <w:r w:rsidRPr="00BB03EB">
        <w:rPr>
          <w:rFonts w:cs="Arial"/>
          <w:b/>
          <w:bCs/>
          <w:szCs w:val="20"/>
        </w:rPr>
        <w:t>Místa pojištění:</w:t>
      </w:r>
      <w:r w:rsidR="00E8178C" w:rsidRPr="00BB03EB">
        <w:rPr>
          <w:rFonts w:cs="Arial"/>
          <w:b/>
          <w:bCs/>
          <w:szCs w:val="20"/>
        </w:rPr>
        <w:tab/>
      </w:r>
      <w:r w:rsidR="008033B9" w:rsidRPr="00BB03EB">
        <w:t>dle přílohy</w:t>
      </w:r>
      <w:r w:rsidR="008033B9" w:rsidRPr="00BB03EB">
        <w:rPr>
          <w:rFonts w:cs="Arial"/>
          <w:b/>
          <w:bCs/>
          <w:szCs w:val="20"/>
        </w:rPr>
        <w:t xml:space="preserve"> </w:t>
      </w:r>
      <w:r w:rsidR="004C6F7E" w:rsidRPr="00BB03EB">
        <w:t>„Seznam pojišťovaných vlastních budov a staveb Města Bíliny“</w:t>
      </w:r>
      <w:r w:rsidR="009B3CBB" w:rsidRPr="00BB03EB">
        <w:t xml:space="preserve"> </w:t>
      </w:r>
    </w:p>
    <w:p w14:paraId="1674A3B8" w14:textId="797FCB29" w:rsidR="004C6F7E" w:rsidRPr="00BB03EB" w:rsidRDefault="004C6F7E" w:rsidP="00E8178C">
      <w:pPr>
        <w:tabs>
          <w:tab w:val="num" w:pos="426"/>
          <w:tab w:val="left" w:pos="2127"/>
        </w:tabs>
        <w:spacing w:line="320" w:lineRule="atLeast"/>
        <w:ind w:left="2124" w:hanging="2124"/>
        <w:jc w:val="both"/>
      </w:pPr>
      <w:r w:rsidRPr="00BB03EB">
        <w:tab/>
      </w:r>
      <w:r w:rsidRPr="00BB03EB">
        <w:tab/>
        <w:t>k.ú. Bílina</w:t>
      </w:r>
    </w:p>
    <w:p w14:paraId="5E1D33F3" w14:textId="1CA84C2C" w:rsidR="00E85AB4" w:rsidRPr="00BB03EB" w:rsidRDefault="00E85AB4" w:rsidP="00E8178C">
      <w:pPr>
        <w:tabs>
          <w:tab w:val="num" w:pos="426"/>
          <w:tab w:val="left" w:pos="2127"/>
        </w:tabs>
        <w:spacing w:line="320" w:lineRule="atLeast"/>
        <w:ind w:left="2124" w:hanging="2124"/>
        <w:jc w:val="both"/>
      </w:pPr>
      <w:r w:rsidRPr="00BB03EB">
        <w:tab/>
      </w:r>
      <w:r w:rsidRPr="00BB03EB">
        <w:tab/>
      </w:r>
    </w:p>
    <w:p w14:paraId="14669FD5" w14:textId="77777777" w:rsidR="00CF0F49" w:rsidRPr="00BB03EB" w:rsidRDefault="00CF0F49"/>
    <w:tbl>
      <w:tblPr>
        <w:tblW w:w="9937" w:type="dxa"/>
        <w:tblInd w:w="-4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8"/>
        <w:gridCol w:w="2409"/>
        <w:gridCol w:w="1560"/>
      </w:tblGrid>
      <w:tr w:rsidR="00BB03EB" w:rsidRPr="00BB03EB" w14:paraId="4DCEDB55" w14:textId="171336A7" w:rsidTr="00BB03EB">
        <w:trPr>
          <w:trHeight w:val="794"/>
        </w:trPr>
        <w:tc>
          <w:tcPr>
            <w:tcW w:w="5968" w:type="dxa"/>
            <w:shd w:val="clear" w:color="auto" w:fill="808080" w:themeFill="background1" w:themeFillShade="80"/>
            <w:vAlign w:val="center"/>
          </w:tcPr>
          <w:p w14:paraId="3A3E3389" w14:textId="77777777" w:rsidR="000E28DB" w:rsidRPr="00BB03EB" w:rsidRDefault="000E28DB" w:rsidP="00164127">
            <w:pPr>
              <w:spacing w:line="320" w:lineRule="atLeast"/>
              <w:jc w:val="center"/>
              <w:rPr>
                <w:rFonts w:cs="Arial"/>
                <w:b/>
                <w:bCs/>
              </w:rPr>
            </w:pPr>
            <w:r w:rsidRPr="00BB03EB">
              <w:rPr>
                <w:rFonts w:cs="Arial"/>
                <w:b/>
                <w:bCs/>
              </w:rPr>
              <w:t>Předmět pojištění</w:t>
            </w:r>
          </w:p>
        </w:tc>
        <w:tc>
          <w:tcPr>
            <w:tcW w:w="2409" w:type="dxa"/>
            <w:shd w:val="clear" w:color="auto" w:fill="808080" w:themeFill="background1" w:themeFillShade="80"/>
            <w:vAlign w:val="center"/>
          </w:tcPr>
          <w:p w14:paraId="7F4BF0D9" w14:textId="5135CCEC" w:rsidR="000E28DB" w:rsidRPr="00BB03EB" w:rsidRDefault="000E28DB" w:rsidP="00164127">
            <w:pPr>
              <w:spacing w:line="320" w:lineRule="atLeast"/>
              <w:jc w:val="center"/>
              <w:rPr>
                <w:rFonts w:cs="Arial"/>
                <w:b/>
                <w:bCs/>
              </w:rPr>
            </w:pPr>
            <w:r w:rsidRPr="00BB03EB">
              <w:rPr>
                <w:rFonts w:cs="Arial"/>
                <w:b/>
                <w:bCs/>
              </w:rPr>
              <w:t>Pojistná částka</w:t>
            </w:r>
            <w:r w:rsidR="0097039B" w:rsidRPr="00BB03EB">
              <w:rPr>
                <w:rFonts w:cs="Arial"/>
                <w:b/>
                <w:bCs/>
              </w:rPr>
              <w:t xml:space="preserve"> / limit</w:t>
            </w:r>
          </w:p>
          <w:p w14:paraId="1F63AC1F" w14:textId="77777777" w:rsidR="000E28DB" w:rsidRPr="00BB03EB" w:rsidRDefault="000E28DB" w:rsidP="00164127">
            <w:pPr>
              <w:spacing w:line="320" w:lineRule="atLeast"/>
              <w:jc w:val="center"/>
              <w:rPr>
                <w:rFonts w:cs="Arial"/>
                <w:b/>
                <w:bCs/>
              </w:rPr>
            </w:pPr>
            <w:r w:rsidRPr="00BB03EB">
              <w:rPr>
                <w:rFonts w:cs="Arial"/>
                <w:b/>
                <w:bCs/>
              </w:rPr>
              <w:t>(v Kč)</w:t>
            </w:r>
          </w:p>
        </w:tc>
        <w:tc>
          <w:tcPr>
            <w:tcW w:w="1560" w:type="dxa"/>
            <w:shd w:val="clear" w:color="auto" w:fill="808080" w:themeFill="background1" w:themeFillShade="80"/>
            <w:vAlign w:val="center"/>
          </w:tcPr>
          <w:p w14:paraId="61A27A76" w14:textId="3140F78E" w:rsidR="000E28DB" w:rsidRPr="00BB03EB" w:rsidRDefault="000E28DB" w:rsidP="000E28DB">
            <w:pPr>
              <w:spacing w:line="320" w:lineRule="atLeast"/>
              <w:jc w:val="center"/>
              <w:rPr>
                <w:rFonts w:cs="Arial"/>
                <w:b/>
                <w:bCs/>
              </w:rPr>
            </w:pPr>
            <w:r w:rsidRPr="00BB03EB">
              <w:rPr>
                <w:rFonts w:cs="Arial"/>
                <w:b/>
                <w:bCs/>
              </w:rPr>
              <w:t>Spoluúčast</w:t>
            </w:r>
          </w:p>
          <w:p w14:paraId="57246482" w14:textId="235EB523" w:rsidR="000E28DB" w:rsidRPr="00BB03EB" w:rsidRDefault="000E28DB" w:rsidP="000E28DB">
            <w:pPr>
              <w:spacing w:line="320" w:lineRule="atLeast"/>
              <w:jc w:val="center"/>
              <w:rPr>
                <w:rFonts w:cs="Arial"/>
                <w:b/>
                <w:bCs/>
              </w:rPr>
            </w:pPr>
            <w:r w:rsidRPr="00BB03EB">
              <w:rPr>
                <w:rFonts w:cs="Arial"/>
                <w:b/>
                <w:bCs/>
              </w:rPr>
              <w:t>(v Kč)</w:t>
            </w:r>
          </w:p>
        </w:tc>
      </w:tr>
      <w:tr w:rsidR="00BB03EB" w:rsidRPr="00BB03EB" w14:paraId="42AEB3BF" w14:textId="2FDF8A37" w:rsidTr="004C6F7E">
        <w:trPr>
          <w:trHeight w:val="1191"/>
        </w:trPr>
        <w:tc>
          <w:tcPr>
            <w:tcW w:w="5968" w:type="dxa"/>
            <w:vAlign w:val="center"/>
          </w:tcPr>
          <w:p w14:paraId="476D9D23" w14:textId="70629545" w:rsidR="002510E9" w:rsidRPr="00BB03EB" w:rsidRDefault="004C6F7E" w:rsidP="008B1C44">
            <w:pPr>
              <w:spacing w:line="320" w:lineRule="atLeast"/>
              <w:jc w:val="both"/>
              <w:rPr>
                <w:rFonts w:cs="Arial"/>
                <w:szCs w:val="20"/>
              </w:rPr>
            </w:pPr>
            <w:r w:rsidRPr="00BB03EB">
              <w:rPr>
                <w:rFonts w:cs="Arial"/>
                <w:szCs w:val="20"/>
              </w:rPr>
              <w:t>Pojištění budov a drobných staveb</w:t>
            </w:r>
            <w:r w:rsidR="00F640C5" w:rsidRPr="00BB03EB">
              <w:rPr>
                <w:rFonts w:cs="Arial"/>
                <w:szCs w:val="20"/>
              </w:rPr>
              <w:t xml:space="preserve"> včetně stavebních úprav, vnitřních a vnějších stavebních součástí, strojního zařízení budov a oplocení včetně věcí na vnější straně budov</w:t>
            </w:r>
            <w:r w:rsidR="00BC3CB4" w:rsidRPr="00BB03EB">
              <w:rPr>
                <w:rFonts w:cs="Arial"/>
                <w:szCs w:val="20"/>
              </w:rPr>
              <w:t xml:space="preserve"> </w:t>
            </w:r>
            <w:r w:rsidR="0076130F" w:rsidRPr="00BB03EB">
              <w:rPr>
                <w:rFonts w:cs="Arial"/>
                <w:szCs w:val="20"/>
              </w:rPr>
              <w:t>–</w:t>
            </w:r>
            <w:r w:rsidRPr="00BB03EB">
              <w:rPr>
                <w:rFonts w:cs="Arial"/>
                <w:szCs w:val="20"/>
              </w:rPr>
              <w:t xml:space="preserve"> </w:t>
            </w:r>
            <w:r w:rsidR="0076130F" w:rsidRPr="00BB03EB">
              <w:rPr>
                <w:rFonts w:cs="Arial"/>
                <w:szCs w:val="20"/>
              </w:rPr>
              <w:t xml:space="preserve">především položky </w:t>
            </w:r>
            <w:r w:rsidRPr="00BB03EB">
              <w:rPr>
                <w:rFonts w:cs="Arial"/>
                <w:szCs w:val="20"/>
              </w:rPr>
              <w:t xml:space="preserve">dle </w:t>
            </w:r>
            <w:r w:rsidR="00C63D3F" w:rsidRPr="00BB03EB">
              <w:rPr>
                <w:rFonts w:cs="Arial"/>
                <w:szCs w:val="20"/>
              </w:rPr>
              <w:t xml:space="preserve">Příloha č. 1 - </w:t>
            </w:r>
            <w:r w:rsidRPr="00BB03EB">
              <w:rPr>
                <w:rFonts w:cs="Arial"/>
                <w:szCs w:val="20"/>
              </w:rPr>
              <w:t>„</w:t>
            </w:r>
            <w:bookmarkStart w:id="0" w:name="_Hlk192061325"/>
            <w:r w:rsidRPr="00BB03EB">
              <w:rPr>
                <w:rFonts w:cs="Arial"/>
                <w:szCs w:val="20"/>
              </w:rPr>
              <w:t>Seznam pojišťovaných vlastních budov a staveb Města Bíliny</w:t>
            </w:r>
            <w:bookmarkEnd w:id="0"/>
            <w:r w:rsidR="00BC3CB4" w:rsidRPr="00BB03EB">
              <w:rPr>
                <w:rFonts w:cs="Arial"/>
                <w:szCs w:val="20"/>
              </w:rPr>
              <w:t>“</w:t>
            </w:r>
          </w:p>
        </w:tc>
        <w:tc>
          <w:tcPr>
            <w:tcW w:w="2409" w:type="dxa"/>
            <w:vAlign w:val="center"/>
          </w:tcPr>
          <w:p w14:paraId="435C56C7" w14:textId="15D4FF62" w:rsidR="004C6F7E" w:rsidRPr="00BB03EB" w:rsidRDefault="007037B7" w:rsidP="004C6F7E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BB03EB">
              <w:rPr>
                <w:rFonts w:cs="Arial"/>
                <w:szCs w:val="20"/>
              </w:rPr>
              <w:t>3.</w:t>
            </w:r>
            <w:r w:rsidR="008F2612">
              <w:rPr>
                <w:rFonts w:cs="Arial"/>
                <w:szCs w:val="20"/>
              </w:rPr>
              <w:t>514</w:t>
            </w:r>
            <w:r w:rsidR="00EA71ED">
              <w:rPr>
                <w:rFonts w:cs="Arial"/>
                <w:szCs w:val="20"/>
              </w:rPr>
              <w:t>.</w:t>
            </w:r>
            <w:r w:rsidR="008F2612">
              <w:rPr>
                <w:rFonts w:cs="Arial"/>
                <w:szCs w:val="20"/>
              </w:rPr>
              <w:t>212</w:t>
            </w:r>
            <w:r w:rsidR="00EA71ED">
              <w:rPr>
                <w:rFonts w:cs="Arial"/>
                <w:szCs w:val="20"/>
              </w:rPr>
              <w:t>.606</w:t>
            </w:r>
          </w:p>
          <w:p w14:paraId="53321078" w14:textId="689059C9" w:rsidR="0083364F" w:rsidRPr="00BB03EB" w:rsidRDefault="00C63D3F" w:rsidP="004C6F7E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  <w:szCs w:val="20"/>
              </w:rPr>
              <w:t>n</w:t>
            </w:r>
            <w:r w:rsidR="004C6F7E" w:rsidRPr="00BB03EB">
              <w:rPr>
                <w:rFonts w:cs="Arial"/>
                <w:szCs w:val="20"/>
              </w:rPr>
              <w:t>ová cena</w:t>
            </w:r>
            <w:r w:rsidRPr="00BB03EB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2DC6260A" w14:textId="438BE55D" w:rsidR="008E68A8" w:rsidRPr="00BB03EB" w:rsidRDefault="004C6F7E" w:rsidP="00164127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</w:rPr>
              <w:t>dle pojistného nebezpečí viz níže</w:t>
            </w:r>
          </w:p>
        </w:tc>
      </w:tr>
      <w:tr w:rsidR="00BB03EB" w:rsidRPr="00BB03EB" w14:paraId="7052F6DE" w14:textId="77777777" w:rsidTr="004C6F7E">
        <w:trPr>
          <w:trHeight w:val="1191"/>
        </w:trPr>
        <w:tc>
          <w:tcPr>
            <w:tcW w:w="5968" w:type="dxa"/>
            <w:vAlign w:val="center"/>
          </w:tcPr>
          <w:p w14:paraId="171609EE" w14:textId="72D37CF5" w:rsidR="002510E9" w:rsidRPr="00BB03EB" w:rsidRDefault="002510E9" w:rsidP="008B1C44">
            <w:pPr>
              <w:spacing w:line="320" w:lineRule="atLeast"/>
              <w:jc w:val="both"/>
              <w:rPr>
                <w:rFonts w:cs="Arial"/>
                <w:szCs w:val="20"/>
                <w:highlight w:val="magenta"/>
              </w:rPr>
            </w:pPr>
            <w:r w:rsidRPr="00BB03EB">
              <w:rPr>
                <w:rFonts w:cs="Arial"/>
                <w:szCs w:val="20"/>
              </w:rPr>
              <w:t xml:space="preserve">Soubor ostatních staveb </w:t>
            </w:r>
            <w:r w:rsidR="00716706" w:rsidRPr="00BB03EB">
              <w:rPr>
                <w:rFonts w:cs="Arial"/>
                <w:szCs w:val="20"/>
              </w:rPr>
              <w:t>(</w:t>
            </w:r>
            <w:r w:rsidRPr="00BB03EB">
              <w:rPr>
                <w:rFonts w:cs="Arial"/>
                <w:szCs w:val="20"/>
              </w:rPr>
              <w:t>přístřešk</w:t>
            </w:r>
            <w:r w:rsidR="00716706" w:rsidRPr="00BB03EB">
              <w:rPr>
                <w:rFonts w:cs="Arial"/>
                <w:szCs w:val="20"/>
              </w:rPr>
              <w:t>y</w:t>
            </w:r>
            <w:r w:rsidRPr="00BB03EB">
              <w:rPr>
                <w:rFonts w:cs="Arial"/>
                <w:szCs w:val="20"/>
              </w:rPr>
              <w:t>, stánk</w:t>
            </w:r>
            <w:r w:rsidR="00716706" w:rsidRPr="00BB03EB">
              <w:rPr>
                <w:rFonts w:cs="Arial"/>
                <w:szCs w:val="20"/>
              </w:rPr>
              <w:t>y</w:t>
            </w:r>
            <w:r w:rsidRPr="00BB03EB">
              <w:rPr>
                <w:rFonts w:cs="Arial"/>
                <w:szCs w:val="20"/>
              </w:rPr>
              <w:t>, oplocení</w:t>
            </w:r>
            <w:r w:rsidR="00305CDD">
              <w:rPr>
                <w:rFonts w:cs="Arial"/>
                <w:szCs w:val="20"/>
              </w:rPr>
              <w:t xml:space="preserve"> </w:t>
            </w:r>
            <w:r w:rsidRPr="00BB03EB">
              <w:rPr>
                <w:rFonts w:cs="Arial"/>
                <w:szCs w:val="20"/>
              </w:rPr>
              <w:t>apod.</w:t>
            </w:r>
            <w:r w:rsidR="00716706" w:rsidRPr="00BB03EB">
              <w:rPr>
                <w:rFonts w:cs="Arial"/>
                <w:szCs w:val="20"/>
              </w:rPr>
              <w:t>)</w:t>
            </w:r>
            <w:r w:rsidR="004F7C3F" w:rsidRPr="00BB03EB">
              <w:rPr>
                <w:rFonts w:cs="Arial"/>
                <w:szCs w:val="20"/>
              </w:rPr>
              <w:t xml:space="preserve"> a jiných staveb (</w:t>
            </w:r>
            <w:r w:rsidR="004F7C3F" w:rsidRPr="00BB03EB">
              <w:rPr>
                <w:rFonts w:cs="Arial"/>
              </w:rPr>
              <w:t>lávky, mostky</w:t>
            </w:r>
            <w:r w:rsidR="00174E2A">
              <w:rPr>
                <w:rFonts w:cs="Arial"/>
              </w:rPr>
              <w:t xml:space="preserve"> a mosty</w:t>
            </w:r>
            <w:r w:rsidR="004F7C3F" w:rsidRPr="00BB03EB">
              <w:rPr>
                <w:rFonts w:cs="Arial"/>
              </w:rPr>
              <w:t>, podchody a železniční přejezdy)</w:t>
            </w:r>
            <w:r w:rsidRPr="00BB03EB">
              <w:rPr>
                <w:rFonts w:cs="Arial"/>
                <w:szCs w:val="20"/>
              </w:rPr>
              <w:t>, dále zpevněné plochy</w:t>
            </w:r>
            <w:r w:rsidR="00C63D3F" w:rsidRPr="00BB03EB">
              <w:rPr>
                <w:rFonts w:cs="Arial"/>
                <w:szCs w:val="20"/>
              </w:rPr>
              <w:t xml:space="preserve"> (vč. povrchů hřišť)</w:t>
            </w:r>
            <w:r w:rsidRPr="00BB03EB">
              <w:rPr>
                <w:rFonts w:cs="Arial"/>
                <w:szCs w:val="20"/>
              </w:rPr>
              <w:t>, komunikace, veřejné osvětlení, parkoviště, inženýrské sítě (vodovody, plynofikace, kanalizace apod.) apod. v k.ú. Bílina</w:t>
            </w:r>
          </w:p>
        </w:tc>
        <w:tc>
          <w:tcPr>
            <w:tcW w:w="2409" w:type="dxa"/>
            <w:vAlign w:val="center"/>
          </w:tcPr>
          <w:p w14:paraId="62A2F052" w14:textId="5ED7DA7B" w:rsidR="00F44D92" w:rsidRPr="00BB03EB" w:rsidRDefault="00F44D92" w:rsidP="00F44D92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</w:t>
            </w:r>
            <w:r w:rsidRPr="00BB03EB">
              <w:rPr>
                <w:rFonts w:cs="Arial"/>
                <w:szCs w:val="20"/>
              </w:rPr>
              <w:t>.000.000</w:t>
            </w:r>
          </w:p>
          <w:p w14:paraId="4387BA8A" w14:textId="1FEA6D08" w:rsidR="00BC34F8" w:rsidRPr="00BB03EB" w:rsidRDefault="00F44D92" w:rsidP="00F44D92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BB03EB">
              <w:rPr>
                <w:szCs w:val="16"/>
              </w:rPr>
              <w:t>1. riziko</w:t>
            </w:r>
          </w:p>
        </w:tc>
        <w:tc>
          <w:tcPr>
            <w:tcW w:w="1560" w:type="dxa"/>
            <w:vAlign w:val="center"/>
          </w:tcPr>
          <w:p w14:paraId="490C1A1F" w14:textId="22EBFE64" w:rsidR="002510E9" w:rsidRPr="00BB03EB" w:rsidRDefault="002510E9" w:rsidP="00164127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</w:rPr>
              <w:t>dle pojistného nebezpečí viz níže</w:t>
            </w:r>
          </w:p>
        </w:tc>
      </w:tr>
      <w:tr w:rsidR="00BB03EB" w:rsidRPr="00BB03EB" w14:paraId="0ACA3692" w14:textId="77777777" w:rsidTr="00916FF5">
        <w:trPr>
          <w:trHeight w:val="737"/>
        </w:trPr>
        <w:tc>
          <w:tcPr>
            <w:tcW w:w="5968" w:type="dxa"/>
            <w:vAlign w:val="center"/>
          </w:tcPr>
          <w:p w14:paraId="5B43E18B" w14:textId="37EC2F71" w:rsidR="00C63D3F" w:rsidRPr="00BB03EB" w:rsidRDefault="00C63D3F" w:rsidP="008B1C44">
            <w:pPr>
              <w:spacing w:line="320" w:lineRule="atLeast"/>
              <w:ind w:right="170"/>
              <w:jc w:val="both"/>
              <w:rPr>
                <w:rFonts w:cs="Arial"/>
                <w:szCs w:val="20"/>
              </w:rPr>
            </w:pPr>
            <w:r w:rsidRPr="00BB03EB">
              <w:rPr>
                <w:rFonts w:cs="Arial"/>
                <w:szCs w:val="20"/>
              </w:rPr>
              <w:t xml:space="preserve">Soubor vlastních a cizích věcí na volném prostranství a vlastních a cizích věcí na volném prostranství pevně spojených se zemí (především </w:t>
            </w:r>
            <w:r w:rsidRPr="00BB03EB">
              <w:rPr>
                <w:rFonts w:cs="Arial"/>
              </w:rPr>
              <w:t>sochy, kašny, památníky, sloupy, informační tabule, naučné prvky a zastřešené turistické odpočívadlo, světelná signalizace, parkovací automaty, semafory, fotopasti, betonové ohniště na parc. č. 883/1, kovové stojany na kola a el. výsuvné sloupky na Mírovém náměstí a jiné v k.ú. Bílina)</w:t>
            </w:r>
            <w:r w:rsidRPr="00BB03EB">
              <w:rPr>
                <w:rFonts w:cs="Arial"/>
                <w:szCs w:val="20"/>
              </w:rPr>
              <w:t xml:space="preserve"> včetně městského mobiliáře včetně herních prvků, zařízení a vybavení na dětských, sportovních a víceúčelových hřištích</w:t>
            </w:r>
            <w:r w:rsidRPr="00BB03EB">
              <w:rPr>
                <w:szCs w:val="20"/>
              </w:rPr>
              <w:t xml:space="preserve"> apod.</w:t>
            </w:r>
          </w:p>
        </w:tc>
        <w:tc>
          <w:tcPr>
            <w:tcW w:w="2409" w:type="dxa"/>
            <w:vAlign w:val="center"/>
          </w:tcPr>
          <w:p w14:paraId="56307DEB" w14:textId="77777777" w:rsidR="00C63D3F" w:rsidRPr="00BB03EB" w:rsidRDefault="00C63D3F" w:rsidP="00916FF5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BB03EB">
              <w:rPr>
                <w:szCs w:val="20"/>
              </w:rPr>
              <w:t xml:space="preserve"> </w:t>
            </w:r>
            <w:r w:rsidRPr="00BB03EB">
              <w:rPr>
                <w:rFonts w:cs="Arial"/>
                <w:szCs w:val="20"/>
              </w:rPr>
              <w:t>1.000.000</w:t>
            </w:r>
          </w:p>
          <w:p w14:paraId="1D5B73D8" w14:textId="77777777" w:rsidR="00C63D3F" w:rsidRPr="00BB03EB" w:rsidRDefault="00C63D3F" w:rsidP="00916FF5">
            <w:pPr>
              <w:pStyle w:val="Default"/>
              <w:ind w:right="170"/>
              <w:jc w:val="right"/>
              <w:rPr>
                <w:color w:val="auto"/>
                <w:sz w:val="20"/>
                <w:szCs w:val="20"/>
              </w:rPr>
            </w:pPr>
            <w:r w:rsidRPr="00BB03EB">
              <w:rPr>
                <w:color w:val="auto"/>
                <w:sz w:val="20"/>
                <w:szCs w:val="16"/>
              </w:rPr>
              <w:t>1. riziko</w:t>
            </w:r>
          </w:p>
        </w:tc>
        <w:tc>
          <w:tcPr>
            <w:tcW w:w="1560" w:type="dxa"/>
            <w:vAlign w:val="center"/>
          </w:tcPr>
          <w:p w14:paraId="5877E648" w14:textId="410F05F0" w:rsidR="00C63D3F" w:rsidRPr="00BB03EB" w:rsidRDefault="00A4321E" w:rsidP="00916FF5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  <w:r w:rsidR="00C63D3F" w:rsidRPr="00BB03EB">
              <w:rPr>
                <w:rFonts w:cs="Arial"/>
                <w:szCs w:val="20"/>
              </w:rPr>
              <w:t>.000</w:t>
            </w:r>
          </w:p>
        </w:tc>
      </w:tr>
      <w:tr w:rsidR="00BB03EB" w:rsidRPr="00BB03EB" w14:paraId="6AD9C642" w14:textId="77777777" w:rsidTr="00D06948">
        <w:trPr>
          <w:trHeight w:val="737"/>
        </w:trPr>
        <w:tc>
          <w:tcPr>
            <w:tcW w:w="5968" w:type="dxa"/>
            <w:vAlign w:val="center"/>
          </w:tcPr>
          <w:p w14:paraId="14FD5729" w14:textId="44CE583A" w:rsidR="0047367D" w:rsidRPr="00BB03EB" w:rsidRDefault="0047367D" w:rsidP="00D06948">
            <w:pPr>
              <w:spacing w:line="320" w:lineRule="atLeast"/>
              <w:rPr>
                <w:rFonts w:cs="Arial"/>
                <w:bCs/>
              </w:rPr>
            </w:pPr>
            <w:r w:rsidRPr="00BB03EB">
              <w:rPr>
                <w:rFonts w:cs="Arial"/>
              </w:rPr>
              <w:t xml:space="preserve">Pojištění vlastních a cizích věcí movitých a zásob </w:t>
            </w:r>
          </w:p>
        </w:tc>
        <w:tc>
          <w:tcPr>
            <w:tcW w:w="2409" w:type="dxa"/>
            <w:vAlign w:val="center"/>
          </w:tcPr>
          <w:p w14:paraId="7D64970D" w14:textId="77777777" w:rsidR="0047367D" w:rsidRPr="00BB03EB" w:rsidRDefault="0047367D" w:rsidP="00D06948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BB03EB">
              <w:rPr>
                <w:rFonts w:cs="Arial"/>
                <w:szCs w:val="20"/>
              </w:rPr>
              <w:t>43.037.68</w:t>
            </w:r>
            <w:r w:rsidR="008D2F2C" w:rsidRPr="00BB03EB">
              <w:rPr>
                <w:rFonts w:cs="Arial"/>
                <w:szCs w:val="20"/>
              </w:rPr>
              <w:t>0</w:t>
            </w:r>
          </w:p>
          <w:p w14:paraId="295E9E3D" w14:textId="4E1657EC" w:rsidR="00BC34F8" w:rsidRPr="00BB03EB" w:rsidRDefault="00BC34F8" w:rsidP="00D06948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  <w:szCs w:val="20"/>
              </w:rPr>
              <w:t>nová cena</w:t>
            </w:r>
          </w:p>
        </w:tc>
        <w:tc>
          <w:tcPr>
            <w:tcW w:w="1560" w:type="dxa"/>
            <w:vAlign w:val="center"/>
          </w:tcPr>
          <w:p w14:paraId="2DE9511E" w14:textId="27E562D6" w:rsidR="0047367D" w:rsidRPr="00BB03EB" w:rsidRDefault="00C63D3F" w:rsidP="00D06948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</w:rPr>
              <w:t>5.000</w:t>
            </w:r>
          </w:p>
        </w:tc>
      </w:tr>
      <w:tr w:rsidR="00BB03EB" w:rsidRPr="00BB03EB" w14:paraId="440F0CED" w14:textId="77777777" w:rsidTr="005A675E">
        <w:trPr>
          <w:trHeight w:val="737"/>
        </w:trPr>
        <w:tc>
          <w:tcPr>
            <w:tcW w:w="5968" w:type="dxa"/>
            <w:vAlign w:val="center"/>
          </w:tcPr>
          <w:p w14:paraId="1FD8AA6F" w14:textId="77777777" w:rsidR="004D282D" w:rsidRPr="00BB03EB" w:rsidRDefault="004D282D" w:rsidP="008B1C44">
            <w:pPr>
              <w:spacing w:line="320" w:lineRule="atLeast"/>
              <w:jc w:val="both"/>
              <w:rPr>
                <w:rFonts w:cs="Arial"/>
              </w:rPr>
            </w:pPr>
            <w:r w:rsidRPr="00BB03EB">
              <w:rPr>
                <w:rFonts w:cs="Arial"/>
              </w:rPr>
              <w:t>Soubor vlastních i cizích strojů, přístrojů vč. elektroniky (vlastní a cizí kancelářské, komunikační a výpočetní techniky, kamerového systému, mobilních a stacionárních elektronických zařízení)</w:t>
            </w:r>
          </w:p>
        </w:tc>
        <w:tc>
          <w:tcPr>
            <w:tcW w:w="2409" w:type="dxa"/>
            <w:vAlign w:val="center"/>
          </w:tcPr>
          <w:p w14:paraId="560F3638" w14:textId="77777777" w:rsidR="004D282D" w:rsidRPr="00BB03EB" w:rsidRDefault="004D282D" w:rsidP="005A675E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BB03EB">
              <w:rPr>
                <w:rFonts w:cs="Arial"/>
                <w:szCs w:val="20"/>
              </w:rPr>
              <w:t>76.923.523</w:t>
            </w:r>
          </w:p>
          <w:p w14:paraId="209FF0A4" w14:textId="77777777" w:rsidR="004D282D" w:rsidRPr="00BB03EB" w:rsidRDefault="004D282D" w:rsidP="005A675E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BB03EB">
              <w:rPr>
                <w:rFonts w:cs="Arial"/>
                <w:szCs w:val="20"/>
              </w:rPr>
              <w:t>nová cena</w:t>
            </w:r>
          </w:p>
        </w:tc>
        <w:tc>
          <w:tcPr>
            <w:tcW w:w="1560" w:type="dxa"/>
            <w:vAlign w:val="center"/>
          </w:tcPr>
          <w:p w14:paraId="32DF8571" w14:textId="25BD2738" w:rsidR="004D282D" w:rsidRPr="00BB03EB" w:rsidRDefault="00C63D3F" w:rsidP="005A675E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</w:rPr>
              <w:t>5.000</w:t>
            </w:r>
          </w:p>
        </w:tc>
      </w:tr>
      <w:tr w:rsidR="00BB03EB" w:rsidRPr="00BB03EB" w14:paraId="63D0CE1F" w14:textId="77777777" w:rsidTr="004C6F7E">
        <w:trPr>
          <w:trHeight w:val="737"/>
        </w:trPr>
        <w:tc>
          <w:tcPr>
            <w:tcW w:w="5968" w:type="dxa"/>
            <w:vAlign w:val="center"/>
          </w:tcPr>
          <w:p w14:paraId="5072236A" w14:textId="18B6CD2F" w:rsidR="00D47897" w:rsidRPr="00BB03EB" w:rsidRDefault="00D47897" w:rsidP="00D47897">
            <w:pPr>
              <w:suppressAutoHyphens/>
              <w:spacing w:line="320" w:lineRule="atLeast"/>
              <w:rPr>
                <w:rFonts w:cs="Arial"/>
                <w:highlight w:val="yellow"/>
              </w:rPr>
            </w:pPr>
            <w:r w:rsidRPr="00BB03EB">
              <w:rPr>
                <w:rFonts w:cs="Arial"/>
              </w:rPr>
              <w:t>Peníze a cen</w:t>
            </w:r>
            <w:r w:rsidR="00FE1F11">
              <w:rPr>
                <w:rFonts w:cs="Arial"/>
              </w:rPr>
              <w:t>iny</w:t>
            </w:r>
            <w:r w:rsidRPr="00BB03EB">
              <w:rPr>
                <w:rFonts w:cs="Arial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0C428415" w14:textId="77777777" w:rsidR="00D47897" w:rsidRPr="00BB03EB" w:rsidRDefault="00D47897" w:rsidP="00D47897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BB03EB">
              <w:rPr>
                <w:rFonts w:cs="Arial"/>
                <w:szCs w:val="20"/>
              </w:rPr>
              <w:t>150.000</w:t>
            </w:r>
          </w:p>
          <w:p w14:paraId="45C56B8E" w14:textId="6ED1C47C" w:rsidR="00D47897" w:rsidRPr="00BB03EB" w:rsidRDefault="00D47897" w:rsidP="00D47897">
            <w:pPr>
              <w:spacing w:line="320" w:lineRule="atLeast"/>
              <w:ind w:right="170"/>
              <w:jc w:val="right"/>
              <w:rPr>
                <w:rFonts w:cs="Arial"/>
                <w:highlight w:val="yellow"/>
              </w:rPr>
            </w:pPr>
            <w:r w:rsidRPr="00BB03EB">
              <w:rPr>
                <w:rFonts w:cs="Arial"/>
                <w:szCs w:val="20"/>
              </w:rPr>
              <w:t>1. riziko</w:t>
            </w:r>
          </w:p>
        </w:tc>
        <w:tc>
          <w:tcPr>
            <w:tcW w:w="1560" w:type="dxa"/>
            <w:vAlign w:val="center"/>
          </w:tcPr>
          <w:p w14:paraId="41BBFC74" w14:textId="6E94BA6B" w:rsidR="00D47897" w:rsidRPr="00BB03EB" w:rsidRDefault="00C63D3F" w:rsidP="00D47897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</w:rPr>
              <w:t>5.000</w:t>
            </w:r>
            <w:r w:rsidR="00D47897" w:rsidRPr="00BB03EB">
              <w:rPr>
                <w:rFonts w:cs="Arial"/>
              </w:rPr>
              <w:t xml:space="preserve"> </w:t>
            </w:r>
          </w:p>
        </w:tc>
      </w:tr>
      <w:tr w:rsidR="00BB03EB" w:rsidRPr="00BB03EB" w14:paraId="0603BEF8" w14:textId="77777777" w:rsidTr="007A27F7">
        <w:trPr>
          <w:trHeight w:val="737"/>
        </w:trPr>
        <w:tc>
          <w:tcPr>
            <w:tcW w:w="5968" w:type="dxa"/>
            <w:vAlign w:val="center"/>
          </w:tcPr>
          <w:p w14:paraId="227B3892" w14:textId="5D479A73" w:rsidR="00635A33" w:rsidRPr="00BB03EB" w:rsidRDefault="00635A33" w:rsidP="00635A33">
            <w:pPr>
              <w:spacing w:line="320" w:lineRule="atLeast"/>
              <w:ind w:right="170"/>
              <w:rPr>
                <w:rFonts w:cs="Arial"/>
                <w:szCs w:val="20"/>
              </w:rPr>
            </w:pPr>
            <w:r w:rsidRPr="00BB03EB">
              <w:rPr>
                <w:rFonts w:cs="Arial"/>
                <w:szCs w:val="20"/>
              </w:rPr>
              <w:lastRenderedPageBreak/>
              <w:t xml:space="preserve">Soubor vlastních a cizích věcí historické či umělecké hodnoty </w:t>
            </w:r>
          </w:p>
        </w:tc>
        <w:tc>
          <w:tcPr>
            <w:tcW w:w="2409" w:type="dxa"/>
            <w:vAlign w:val="center"/>
          </w:tcPr>
          <w:p w14:paraId="07BD66FE" w14:textId="10AC1CFE" w:rsidR="00635A33" w:rsidRPr="00BB03EB" w:rsidRDefault="00634085" w:rsidP="007A27F7">
            <w:pPr>
              <w:spacing w:line="320" w:lineRule="atLeast"/>
              <w:ind w:right="170"/>
              <w:jc w:val="right"/>
              <w:rPr>
                <w:szCs w:val="20"/>
              </w:rPr>
            </w:pPr>
            <w:r w:rsidRPr="00BB03EB">
              <w:rPr>
                <w:szCs w:val="20"/>
              </w:rPr>
              <w:t>1.0</w:t>
            </w:r>
            <w:r w:rsidR="00635A33" w:rsidRPr="00BB03EB">
              <w:rPr>
                <w:szCs w:val="20"/>
              </w:rPr>
              <w:t>00.000</w:t>
            </w:r>
          </w:p>
          <w:p w14:paraId="6C360A69" w14:textId="75CF20BC" w:rsidR="00635A33" w:rsidRPr="00BB03EB" w:rsidRDefault="00635A33" w:rsidP="007A27F7">
            <w:pPr>
              <w:spacing w:line="320" w:lineRule="atLeast"/>
              <w:ind w:right="170"/>
              <w:jc w:val="right"/>
              <w:rPr>
                <w:szCs w:val="20"/>
              </w:rPr>
            </w:pPr>
            <w:r w:rsidRPr="00BB03EB">
              <w:rPr>
                <w:szCs w:val="20"/>
              </w:rPr>
              <w:t>1.riziko</w:t>
            </w:r>
          </w:p>
        </w:tc>
        <w:tc>
          <w:tcPr>
            <w:tcW w:w="1560" w:type="dxa"/>
            <w:vAlign w:val="center"/>
          </w:tcPr>
          <w:p w14:paraId="703A4205" w14:textId="7737D02F" w:rsidR="00635A33" w:rsidRPr="00BB03EB" w:rsidRDefault="00635A33" w:rsidP="00635A33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BB03EB">
              <w:rPr>
                <w:rFonts w:cs="Arial"/>
                <w:szCs w:val="20"/>
              </w:rPr>
              <w:t>5.000</w:t>
            </w:r>
          </w:p>
        </w:tc>
      </w:tr>
      <w:tr w:rsidR="00BB03EB" w:rsidRPr="00BB03EB" w14:paraId="46308D9C" w14:textId="77777777" w:rsidTr="007A27F7">
        <w:trPr>
          <w:trHeight w:val="737"/>
        </w:trPr>
        <w:tc>
          <w:tcPr>
            <w:tcW w:w="5968" w:type="dxa"/>
            <w:vAlign w:val="center"/>
          </w:tcPr>
          <w:p w14:paraId="58832C86" w14:textId="33E32C47" w:rsidR="00031439" w:rsidRPr="00BB03EB" w:rsidRDefault="00031439" w:rsidP="00635A33">
            <w:pPr>
              <w:spacing w:line="320" w:lineRule="atLeast"/>
              <w:ind w:right="170"/>
              <w:rPr>
                <w:rFonts w:cs="Arial"/>
                <w:szCs w:val="20"/>
              </w:rPr>
            </w:pPr>
            <w:r w:rsidRPr="00BB03EB">
              <w:rPr>
                <w:rFonts w:cs="Arial"/>
                <w:szCs w:val="20"/>
              </w:rPr>
              <w:t xml:space="preserve">Okrasné květiny, rostliny, keře, </w:t>
            </w:r>
            <w:r w:rsidR="00BB03EB">
              <w:rPr>
                <w:rFonts w:cs="Arial"/>
                <w:szCs w:val="20"/>
              </w:rPr>
              <w:t xml:space="preserve">dřeviny, </w:t>
            </w:r>
            <w:r w:rsidRPr="00BB03EB">
              <w:rPr>
                <w:rFonts w:cs="Arial"/>
                <w:szCs w:val="20"/>
              </w:rPr>
              <w:t>stromy a stromky</w:t>
            </w:r>
          </w:p>
        </w:tc>
        <w:tc>
          <w:tcPr>
            <w:tcW w:w="2409" w:type="dxa"/>
            <w:vAlign w:val="center"/>
          </w:tcPr>
          <w:p w14:paraId="5F98B1BF" w14:textId="77777777" w:rsidR="00031439" w:rsidRPr="00BB03EB" w:rsidRDefault="00031439" w:rsidP="007A27F7">
            <w:pPr>
              <w:spacing w:line="320" w:lineRule="atLeast"/>
              <w:ind w:right="170"/>
              <w:jc w:val="right"/>
              <w:rPr>
                <w:szCs w:val="20"/>
              </w:rPr>
            </w:pPr>
            <w:r w:rsidRPr="00BB03EB">
              <w:rPr>
                <w:szCs w:val="20"/>
              </w:rPr>
              <w:t>200.000</w:t>
            </w:r>
          </w:p>
          <w:p w14:paraId="3B5000EC" w14:textId="3AA37AEF" w:rsidR="00031439" w:rsidRPr="00BB03EB" w:rsidRDefault="00031439" w:rsidP="007A27F7">
            <w:pPr>
              <w:spacing w:line="320" w:lineRule="atLeast"/>
              <w:ind w:right="170"/>
              <w:jc w:val="right"/>
              <w:rPr>
                <w:szCs w:val="20"/>
              </w:rPr>
            </w:pPr>
            <w:r w:rsidRPr="00BB03EB">
              <w:rPr>
                <w:szCs w:val="20"/>
              </w:rPr>
              <w:t>1. riziko</w:t>
            </w:r>
          </w:p>
        </w:tc>
        <w:tc>
          <w:tcPr>
            <w:tcW w:w="1560" w:type="dxa"/>
            <w:vAlign w:val="center"/>
          </w:tcPr>
          <w:p w14:paraId="07403B53" w14:textId="694CA194" w:rsidR="00031439" w:rsidRPr="00BB03EB" w:rsidRDefault="00031439" w:rsidP="00635A33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DC0C6A">
              <w:rPr>
                <w:rFonts w:cs="Arial"/>
                <w:szCs w:val="20"/>
              </w:rPr>
              <w:t>1.000</w:t>
            </w:r>
          </w:p>
        </w:tc>
      </w:tr>
      <w:tr w:rsidR="002A02A8" w:rsidRPr="00BB03EB" w14:paraId="4FAF647A" w14:textId="77777777" w:rsidTr="007A27F7">
        <w:trPr>
          <w:trHeight w:val="737"/>
        </w:trPr>
        <w:tc>
          <w:tcPr>
            <w:tcW w:w="5968" w:type="dxa"/>
            <w:vAlign w:val="center"/>
          </w:tcPr>
          <w:p w14:paraId="274EA499" w14:textId="510901C4" w:rsidR="002A02A8" w:rsidRPr="00BB03EB" w:rsidRDefault="002A02A8" w:rsidP="00635A33">
            <w:pPr>
              <w:spacing w:line="320" w:lineRule="atLeast"/>
              <w:ind w:right="17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Soubor FVE</w:t>
            </w:r>
            <w:r w:rsidR="00205C24">
              <w:rPr>
                <w:rFonts w:cs="Arial"/>
                <w:szCs w:val="20"/>
              </w:rPr>
              <w:t xml:space="preserve"> </w:t>
            </w:r>
            <w:r w:rsidR="00163265">
              <w:rPr>
                <w:rFonts w:cs="Arial"/>
                <w:szCs w:val="20"/>
              </w:rPr>
              <w:t xml:space="preserve">– </w:t>
            </w:r>
            <w:r w:rsidR="00DE4E16">
              <w:rPr>
                <w:rFonts w:cs="Arial"/>
                <w:szCs w:val="20"/>
              </w:rPr>
              <w:t>(</w:t>
            </w:r>
            <w:r w:rsidR="00163265">
              <w:rPr>
                <w:rFonts w:cs="Arial"/>
                <w:szCs w:val="20"/>
              </w:rPr>
              <w:t xml:space="preserve">kompletní realizace vč. </w:t>
            </w:r>
            <w:r w:rsidR="00DE4E16">
              <w:rPr>
                <w:rFonts w:cs="Arial"/>
                <w:szCs w:val="20"/>
              </w:rPr>
              <w:t>střídačů</w:t>
            </w:r>
            <w:r w:rsidR="00163265">
              <w:rPr>
                <w:rFonts w:cs="Arial"/>
                <w:szCs w:val="20"/>
              </w:rPr>
              <w:t>, měničů, konstrukcí</w:t>
            </w:r>
            <w:r w:rsidR="00DE4E16">
              <w:rPr>
                <w:rFonts w:cs="Arial"/>
                <w:szCs w:val="20"/>
              </w:rPr>
              <w:t xml:space="preserve"> atd.)</w:t>
            </w:r>
          </w:p>
        </w:tc>
        <w:tc>
          <w:tcPr>
            <w:tcW w:w="2409" w:type="dxa"/>
            <w:vAlign w:val="center"/>
          </w:tcPr>
          <w:p w14:paraId="0F0D5355" w14:textId="5100C2F1" w:rsidR="002A02A8" w:rsidRPr="00BB03EB" w:rsidRDefault="00DE4E16" w:rsidP="007A27F7">
            <w:pPr>
              <w:spacing w:line="320" w:lineRule="atLeast"/>
              <w:ind w:right="170"/>
              <w:jc w:val="right"/>
              <w:rPr>
                <w:szCs w:val="20"/>
              </w:rPr>
            </w:pPr>
            <w:r>
              <w:rPr>
                <w:szCs w:val="20"/>
              </w:rPr>
              <w:t>20.284.319</w:t>
            </w:r>
          </w:p>
        </w:tc>
        <w:tc>
          <w:tcPr>
            <w:tcW w:w="1560" w:type="dxa"/>
            <w:vAlign w:val="center"/>
          </w:tcPr>
          <w:p w14:paraId="0D429DE0" w14:textId="1B233277" w:rsidR="002A02A8" w:rsidRPr="00DC0C6A" w:rsidRDefault="00DE4E16" w:rsidP="00635A33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10.000</w:t>
            </w:r>
          </w:p>
        </w:tc>
      </w:tr>
    </w:tbl>
    <w:p w14:paraId="49AB91EA" w14:textId="77777777" w:rsidR="00B71684" w:rsidRPr="00BB03EB" w:rsidRDefault="00B71684"/>
    <w:p w14:paraId="386DCE65" w14:textId="77777777" w:rsidR="005D1DFC" w:rsidRPr="00BB03EB" w:rsidRDefault="005D1DFC"/>
    <w:p w14:paraId="68125861" w14:textId="77777777" w:rsidR="005D1DFC" w:rsidRPr="00BB03EB" w:rsidRDefault="005D1DFC" w:rsidP="005D1DFC">
      <w:pPr>
        <w:spacing w:line="320" w:lineRule="atLeast"/>
        <w:jc w:val="both"/>
        <w:rPr>
          <w:rFonts w:cs="Arial"/>
          <w:b/>
          <w:bCs/>
          <w:szCs w:val="20"/>
        </w:rPr>
      </w:pPr>
      <w:r w:rsidRPr="00BB03EB">
        <w:rPr>
          <w:rFonts w:cs="Arial"/>
          <w:b/>
          <w:bCs/>
          <w:szCs w:val="20"/>
        </w:rPr>
        <w:t>Rozsah živelního pojištění a souhrnné roční limity pojistného plnění:</w:t>
      </w:r>
    </w:p>
    <w:p w14:paraId="22D56BCA" w14:textId="77777777" w:rsidR="005D1DFC" w:rsidRPr="00BB03EB" w:rsidRDefault="005D1DFC" w:rsidP="005D1DFC">
      <w:pPr>
        <w:tabs>
          <w:tab w:val="left" w:pos="2694"/>
        </w:tabs>
        <w:spacing w:line="320" w:lineRule="atLeast"/>
        <w:ind w:left="560" w:hanging="560"/>
        <w:jc w:val="both"/>
        <w:rPr>
          <w:rFonts w:cs="Arial"/>
          <w:b/>
        </w:rPr>
      </w:pPr>
    </w:p>
    <w:p w14:paraId="7094E318" w14:textId="77777777" w:rsidR="005D1DFC" w:rsidRPr="00BB03EB" w:rsidRDefault="005D1DFC" w:rsidP="005D1DFC">
      <w:pPr>
        <w:numPr>
          <w:ilvl w:val="0"/>
          <w:numId w:val="26"/>
        </w:numPr>
        <w:tabs>
          <w:tab w:val="left" w:pos="567"/>
          <w:tab w:val="num" w:pos="720"/>
        </w:tabs>
        <w:spacing w:line="320" w:lineRule="atLeast"/>
        <w:ind w:hanging="560"/>
        <w:jc w:val="both"/>
        <w:rPr>
          <w:rFonts w:cs="Arial"/>
          <w:bCs/>
        </w:rPr>
      </w:pPr>
      <w:r w:rsidRPr="00BB03EB">
        <w:rPr>
          <w:rFonts w:cs="Arial"/>
          <w:b/>
        </w:rPr>
        <w:t>FLEXA</w:t>
      </w:r>
      <w:r w:rsidRPr="00BB03EB">
        <w:rPr>
          <w:rFonts w:cs="Arial"/>
          <w:bCs/>
        </w:rPr>
        <w:t xml:space="preserve"> – požár, přímý úder blesku, výbuch, náraz nebo zřícení letadla </w:t>
      </w:r>
    </w:p>
    <w:p w14:paraId="1AD91133" w14:textId="77777777" w:rsidR="005D1DFC" w:rsidRPr="00BB03EB" w:rsidRDefault="005D1DFC" w:rsidP="005D1DFC">
      <w:pPr>
        <w:numPr>
          <w:ilvl w:val="0"/>
          <w:numId w:val="26"/>
        </w:numPr>
        <w:tabs>
          <w:tab w:val="left" w:pos="567"/>
          <w:tab w:val="num" w:pos="720"/>
        </w:tabs>
        <w:spacing w:line="320" w:lineRule="atLeast"/>
        <w:ind w:hanging="560"/>
        <w:jc w:val="both"/>
        <w:rPr>
          <w:rFonts w:cs="Arial"/>
          <w:bCs/>
        </w:rPr>
      </w:pPr>
      <w:r w:rsidRPr="00BB03EB">
        <w:rPr>
          <w:rFonts w:cs="Arial"/>
          <w:bCs/>
        </w:rPr>
        <w:t>kouř, náraz vozidla, aerodynamický třesk</w:t>
      </w:r>
    </w:p>
    <w:p w14:paraId="14758036" w14:textId="1FB3E585" w:rsidR="005D1DFC" w:rsidRPr="00BB03EB" w:rsidRDefault="005D1DFC" w:rsidP="005D1DFC">
      <w:pPr>
        <w:numPr>
          <w:ilvl w:val="0"/>
          <w:numId w:val="26"/>
        </w:numPr>
        <w:tabs>
          <w:tab w:val="left" w:pos="567"/>
          <w:tab w:val="num" w:pos="720"/>
        </w:tabs>
        <w:spacing w:line="320" w:lineRule="atLeast"/>
        <w:ind w:hanging="560"/>
        <w:jc w:val="both"/>
        <w:rPr>
          <w:rFonts w:cs="Arial"/>
          <w:bCs/>
        </w:rPr>
      </w:pPr>
      <w:r w:rsidRPr="00BB03EB">
        <w:rPr>
          <w:rFonts w:cs="Arial"/>
          <w:b/>
          <w:bCs/>
        </w:rPr>
        <w:t>voda z </w:t>
      </w:r>
      <w:r w:rsidR="000361CC" w:rsidRPr="00BB03EB">
        <w:rPr>
          <w:rFonts w:cs="Arial"/>
          <w:b/>
          <w:bCs/>
        </w:rPr>
        <w:t>potrubí</w:t>
      </w:r>
      <w:r w:rsidR="000361CC" w:rsidRPr="00BB03EB">
        <w:rPr>
          <w:rFonts w:cs="Arial"/>
          <w:bCs/>
        </w:rPr>
        <w:t xml:space="preserve"> – škody</w:t>
      </w:r>
      <w:r w:rsidRPr="00BB03EB">
        <w:rPr>
          <w:rFonts w:cs="Arial"/>
          <w:bCs/>
        </w:rPr>
        <w:t xml:space="preserve"> způsobené únikem vod a lomem trubek</w:t>
      </w:r>
      <w:r w:rsidR="00007DF5" w:rsidRPr="00BB03EB">
        <w:rPr>
          <w:rFonts w:cs="Arial"/>
          <w:bCs/>
        </w:rPr>
        <w:t xml:space="preserve"> vč. kanalizace</w:t>
      </w:r>
    </w:p>
    <w:p w14:paraId="7AC4514F" w14:textId="6F7E735F" w:rsidR="005D1DFC" w:rsidRPr="00BB03EB" w:rsidRDefault="005D1DFC" w:rsidP="005D1DFC">
      <w:pPr>
        <w:numPr>
          <w:ilvl w:val="0"/>
          <w:numId w:val="26"/>
        </w:numPr>
        <w:tabs>
          <w:tab w:val="left" w:pos="567"/>
          <w:tab w:val="num" w:pos="720"/>
        </w:tabs>
        <w:spacing w:line="320" w:lineRule="atLeast"/>
        <w:ind w:hanging="560"/>
        <w:jc w:val="both"/>
        <w:rPr>
          <w:rFonts w:cs="Arial"/>
          <w:bCs/>
        </w:rPr>
      </w:pPr>
      <w:r w:rsidRPr="00BB03EB">
        <w:rPr>
          <w:rFonts w:cs="Arial"/>
          <w:b/>
          <w:bCs/>
        </w:rPr>
        <w:t xml:space="preserve">přírodní </w:t>
      </w:r>
      <w:r w:rsidR="000361CC" w:rsidRPr="00BB03EB">
        <w:rPr>
          <w:rFonts w:cs="Arial"/>
          <w:b/>
          <w:bCs/>
        </w:rPr>
        <w:t>nebezpečí</w:t>
      </w:r>
      <w:r w:rsidR="000361CC" w:rsidRPr="00BB03EB">
        <w:rPr>
          <w:rFonts w:cs="Arial"/>
          <w:bCs/>
        </w:rPr>
        <w:t xml:space="preserve"> – vichřice</w:t>
      </w:r>
      <w:r w:rsidRPr="00BB03EB">
        <w:rPr>
          <w:rFonts w:cs="Arial"/>
          <w:bCs/>
        </w:rPr>
        <w:t>, krupobití, tíha sněhu, pád stromu, stožáru nebo jiného předmětu</w:t>
      </w:r>
    </w:p>
    <w:p w14:paraId="58703EA8" w14:textId="4B4E8C36" w:rsidR="005D1DFC" w:rsidRPr="00BB03EB" w:rsidRDefault="005D1DFC" w:rsidP="005D1DFC">
      <w:pPr>
        <w:numPr>
          <w:ilvl w:val="0"/>
          <w:numId w:val="26"/>
        </w:numPr>
        <w:tabs>
          <w:tab w:val="left" w:pos="567"/>
          <w:tab w:val="num" w:pos="720"/>
        </w:tabs>
        <w:spacing w:line="320" w:lineRule="atLeast"/>
        <w:ind w:hanging="560"/>
        <w:jc w:val="both"/>
        <w:rPr>
          <w:rFonts w:cs="Arial"/>
          <w:bCs/>
        </w:rPr>
      </w:pPr>
      <w:r w:rsidRPr="00BB03EB">
        <w:rPr>
          <w:rFonts w:cs="Arial"/>
          <w:b/>
          <w:bCs/>
        </w:rPr>
        <w:t xml:space="preserve">přírodní </w:t>
      </w:r>
      <w:r w:rsidR="000361CC" w:rsidRPr="00BB03EB">
        <w:rPr>
          <w:rFonts w:cs="Arial"/>
          <w:b/>
          <w:bCs/>
        </w:rPr>
        <w:t xml:space="preserve">katastrofy </w:t>
      </w:r>
      <w:r w:rsidR="000361CC" w:rsidRPr="00BB03EB">
        <w:rPr>
          <w:rFonts w:cs="Arial"/>
        </w:rPr>
        <w:t>– lavina</w:t>
      </w:r>
      <w:r w:rsidRPr="00BB03EB">
        <w:rPr>
          <w:rFonts w:cs="Arial"/>
        </w:rPr>
        <w:t>, zemětřesení, výbuch sopky, sesuv půdy a zřícení skal</w:t>
      </w:r>
    </w:p>
    <w:p w14:paraId="65208FB7" w14:textId="77777777" w:rsidR="005D1DFC" w:rsidRPr="00BB03EB" w:rsidRDefault="005D1DFC" w:rsidP="005D1DFC">
      <w:pPr>
        <w:numPr>
          <w:ilvl w:val="0"/>
          <w:numId w:val="26"/>
        </w:numPr>
        <w:tabs>
          <w:tab w:val="left" w:pos="567"/>
          <w:tab w:val="num" w:pos="720"/>
        </w:tabs>
        <w:spacing w:line="320" w:lineRule="atLeast"/>
        <w:ind w:hanging="560"/>
        <w:jc w:val="both"/>
        <w:rPr>
          <w:rFonts w:cs="Arial"/>
          <w:bCs/>
        </w:rPr>
      </w:pPr>
      <w:r w:rsidRPr="00BB03EB">
        <w:rPr>
          <w:rFonts w:cs="Arial"/>
          <w:b/>
          <w:bCs/>
        </w:rPr>
        <w:t>Povodeň, záplava</w:t>
      </w:r>
    </w:p>
    <w:p w14:paraId="23AFCAB4" w14:textId="77777777" w:rsidR="006074C6" w:rsidRPr="00BB03EB" w:rsidRDefault="006074C6">
      <w:pPr>
        <w:spacing w:after="160" w:line="259" w:lineRule="auto"/>
        <w:rPr>
          <w:rFonts w:cs="Arial"/>
          <w:b/>
          <w:bCs/>
          <w:szCs w:val="20"/>
        </w:rPr>
      </w:pPr>
    </w:p>
    <w:p w14:paraId="2E5C4D6E" w14:textId="77777777" w:rsidR="005D1DFC" w:rsidRPr="00BB03EB" w:rsidRDefault="005D1DFC">
      <w:pPr>
        <w:spacing w:after="160" w:line="259" w:lineRule="auto"/>
        <w:rPr>
          <w:rFonts w:cs="Arial"/>
          <w:b/>
          <w:bCs/>
          <w:szCs w:val="20"/>
        </w:rPr>
      </w:pPr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0"/>
        <w:gridCol w:w="1701"/>
        <w:gridCol w:w="2552"/>
      </w:tblGrid>
      <w:tr w:rsidR="00BB03EB" w:rsidRPr="00BB03EB" w14:paraId="7CD748E8" w14:textId="77777777" w:rsidTr="00A4321E">
        <w:trPr>
          <w:trHeight w:val="945"/>
          <w:jc w:val="center"/>
        </w:trPr>
        <w:tc>
          <w:tcPr>
            <w:tcW w:w="5230" w:type="dxa"/>
            <w:tcBorders>
              <w:top w:val="single" w:sz="12" w:space="0" w:color="auto"/>
              <w:bottom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61C7A3A1" w14:textId="77777777" w:rsidR="005F57BB" w:rsidRPr="00BB03EB" w:rsidRDefault="005F57BB" w:rsidP="00B1170C">
            <w:pPr>
              <w:spacing w:line="320" w:lineRule="atLeast"/>
              <w:jc w:val="center"/>
              <w:rPr>
                <w:rFonts w:cs="Arial"/>
                <w:b/>
                <w:bCs/>
              </w:rPr>
            </w:pPr>
            <w:r w:rsidRPr="00BB03EB">
              <w:rPr>
                <w:rFonts w:cs="Arial"/>
                <w:b/>
                <w:bCs/>
              </w:rPr>
              <w:t>Pojištěné nebezpečí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2DD4ED9" w14:textId="77777777" w:rsidR="005F57BB" w:rsidRPr="00BB03EB" w:rsidRDefault="005F57BB" w:rsidP="00B1170C">
            <w:pPr>
              <w:spacing w:line="320" w:lineRule="atLeast"/>
              <w:jc w:val="center"/>
              <w:rPr>
                <w:rFonts w:cs="Arial"/>
                <w:b/>
                <w:bCs/>
              </w:rPr>
            </w:pPr>
            <w:r w:rsidRPr="00BB03EB">
              <w:rPr>
                <w:rFonts w:cs="Arial"/>
                <w:b/>
                <w:bCs/>
              </w:rPr>
              <w:t>Roční limit plnění / pojistná částka (v Kč)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3F26C23C" w14:textId="5E033C88" w:rsidR="005F57BB" w:rsidRPr="00BB03EB" w:rsidRDefault="005F57BB" w:rsidP="00B1170C">
            <w:pPr>
              <w:spacing w:line="320" w:lineRule="atLeast"/>
              <w:jc w:val="center"/>
              <w:rPr>
                <w:rFonts w:cs="Arial"/>
                <w:b/>
                <w:bCs/>
              </w:rPr>
            </w:pPr>
            <w:r w:rsidRPr="00BB03EB">
              <w:rPr>
                <w:rFonts w:cs="Arial"/>
                <w:b/>
                <w:bCs/>
              </w:rPr>
              <w:t xml:space="preserve">Spoluúčast </w:t>
            </w:r>
          </w:p>
          <w:p w14:paraId="4CF644BF" w14:textId="77777777" w:rsidR="005F57BB" w:rsidRPr="00BB03EB" w:rsidRDefault="005F57BB" w:rsidP="00B1170C">
            <w:pPr>
              <w:spacing w:line="320" w:lineRule="atLeast"/>
              <w:jc w:val="center"/>
              <w:rPr>
                <w:rFonts w:cs="Arial"/>
                <w:b/>
                <w:bCs/>
              </w:rPr>
            </w:pPr>
            <w:r w:rsidRPr="00BB03EB">
              <w:rPr>
                <w:rFonts w:cs="Arial"/>
                <w:b/>
                <w:bCs/>
              </w:rPr>
              <w:t>(v Kč)</w:t>
            </w:r>
          </w:p>
        </w:tc>
      </w:tr>
      <w:tr w:rsidR="00BB03EB" w:rsidRPr="00BB03EB" w14:paraId="6D628EFC" w14:textId="77777777" w:rsidTr="00A4321E">
        <w:trPr>
          <w:trHeight w:val="397"/>
          <w:jc w:val="center"/>
        </w:trPr>
        <w:tc>
          <w:tcPr>
            <w:tcW w:w="5230" w:type="dxa"/>
            <w:tcBorders>
              <w:top w:val="single" w:sz="6" w:space="0" w:color="auto"/>
            </w:tcBorders>
            <w:vAlign w:val="center"/>
          </w:tcPr>
          <w:p w14:paraId="6A14D64D" w14:textId="77777777" w:rsidR="005F57BB" w:rsidRPr="00BB03EB" w:rsidRDefault="005F57BB" w:rsidP="008B1C44">
            <w:pPr>
              <w:spacing w:line="320" w:lineRule="atLeast"/>
              <w:jc w:val="both"/>
              <w:rPr>
                <w:rFonts w:cs="Arial"/>
              </w:rPr>
            </w:pPr>
            <w:r w:rsidRPr="00BB03EB">
              <w:rPr>
                <w:rFonts w:cs="Arial"/>
              </w:rPr>
              <w:t>FLEXA vč. kouře, nárazu vozidla a aerodynamického třesku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14:paraId="3C6E4913" w14:textId="77777777" w:rsidR="005F57BB" w:rsidRPr="00BB03EB" w:rsidRDefault="005F57BB" w:rsidP="00B1170C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</w:rPr>
              <w:t>bez limitu</w:t>
            </w:r>
          </w:p>
        </w:tc>
        <w:tc>
          <w:tcPr>
            <w:tcW w:w="2552" w:type="dxa"/>
            <w:tcBorders>
              <w:top w:val="single" w:sz="6" w:space="0" w:color="auto"/>
            </w:tcBorders>
            <w:vAlign w:val="center"/>
          </w:tcPr>
          <w:p w14:paraId="357C6148" w14:textId="24C4F962" w:rsidR="00A4321E" w:rsidRDefault="00A4321E" w:rsidP="005F57BB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budovy a drobné stavby </w:t>
            </w:r>
          </w:p>
          <w:p w14:paraId="05C983F5" w14:textId="760B95BD" w:rsidR="005F57BB" w:rsidRDefault="005F57BB" w:rsidP="005F57BB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</w:rPr>
              <w:t>50.000</w:t>
            </w:r>
          </w:p>
          <w:p w14:paraId="1BEC9265" w14:textId="172E3D8F" w:rsidR="00A4321E" w:rsidRDefault="00A4321E" w:rsidP="005F57BB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>
              <w:rPr>
                <w:rFonts w:cs="Arial"/>
              </w:rPr>
              <w:t>soubor ostatních staveb</w:t>
            </w:r>
          </w:p>
          <w:p w14:paraId="6DF63677" w14:textId="71416D50" w:rsidR="00A4321E" w:rsidRPr="00BB03EB" w:rsidRDefault="00A4321E" w:rsidP="005F57BB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>
              <w:rPr>
                <w:rFonts w:cs="Arial"/>
              </w:rPr>
              <w:t>10% min. 50.000</w:t>
            </w:r>
          </w:p>
        </w:tc>
      </w:tr>
      <w:tr w:rsidR="00BB03EB" w:rsidRPr="00BB03EB" w14:paraId="2E21CE6A" w14:textId="77777777" w:rsidTr="00A4321E">
        <w:trPr>
          <w:trHeight w:val="397"/>
          <w:jc w:val="center"/>
        </w:trPr>
        <w:tc>
          <w:tcPr>
            <w:tcW w:w="5230" w:type="dxa"/>
            <w:tcBorders>
              <w:top w:val="single" w:sz="6" w:space="0" w:color="auto"/>
            </w:tcBorders>
            <w:vAlign w:val="center"/>
          </w:tcPr>
          <w:p w14:paraId="79144EBB" w14:textId="34704CA8" w:rsidR="005F57BB" w:rsidRPr="00BB03EB" w:rsidRDefault="005F57BB" w:rsidP="008B1C44">
            <w:pPr>
              <w:spacing w:line="320" w:lineRule="atLeast"/>
              <w:jc w:val="both"/>
              <w:rPr>
                <w:rFonts w:cs="Arial"/>
                <w:bCs/>
              </w:rPr>
            </w:pPr>
            <w:r w:rsidRPr="00BB03EB">
              <w:rPr>
                <w:rFonts w:cs="Arial"/>
              </w:rPr>
              <w:t xml:space="preserve">Voda z potrubí - </w:t>
            </w:r>
            <w:r w:rsidRPr="00BB03EB">
              <w:rPr>
                <w:rFonts w:cs="Arial"/>
                <w:bCs/>
              </w:rPr>
              <w:t>škody způsobené únikem vod a lomem trubek</w:t>
            </w:r>
            <w:r w:rsidR="00007DF5" w:rsidRPr="00BB03EB">
              <w:rPr>
                <w:rFonts w:cs="Arial"/>
                <w:bCs/>
              </w:rPr>
              <w:t xml:space="preserve"> vč. kanalizace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14:paraId="1B1D5F6F" w14:textId="77777777" w:rsidR="005F57BB" w:rsidRPr="00BB03EB" w:rsidRDefault="005F57BB" w:rsidP="00B1170C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</w:rPr>
              <w:t>30.000.000</w:t>
            </w:r>
          </w:p>
        </w:tc>
        <w:tc>
          <w:tcPr>
            <w:tcW w:w="2552" w:type="dxa"/>
            <w:vAlign w:val="center"/>
          </w:tcPr>
          <w:p w14:paraId="20EB4780" w14:textId="2574DF34" w:rsidR="005F57BB" w:rsidRPr="00BB03EB" w:rsidRDefault="005F57BB" w:rsidP="005F57BB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</w:rPr>
              <w:t>1</w:t>
            </w:r>
            <w:r w:rsidR="00FE1F11">
              <w:rPr>
                <w:rFonts w:cs="Arial"/>
              </w:rPr>
              <w:t>0</w:t>
            </w:r>
            <w:r w:rsidRPr="00BB03EB">
              <w:rPr>
                <w:rFonts w:cs="Arial"/>
              </w:rPr>
              <w:t>.000</w:t>
            </w:r>
          </w:p>
        </w:tc>
      </w:tr>
      <w:tr w:rsidR="00BB03EB" w:rsidRPr="00BB03EB" w14:paraId="310E020D" w14:textId="77777777" w:rsidTr="00A4321E">
        <w:trPr>
          <w:trHeight w:val="397"/>
          <w:jc w:val="center"/>
        </w:trPr>
        <w:tc>
          <w:tcPr>
            <w:tcW w:w="5230" w:type="dxa"/>
            <w:tcBorders>
              <w:top w:val="single" w:sz="6" w:space="0" w:color="auto"/>
            </w:tcBorders>
            <w:vAlign w:val="center"/>
          </w:tcPr>
          <w:p w14:paraId="61F89318" w14:textId="47024A61" w:rsidR="005F57BB" w:rsidRPr="00BB03EB" w:rsidRDefault="00A4321E" w:rsidP="00B1170C">
            <w:pPr>
              <w:spacing w:line="320" w:lineRule="atLeast"/>
              <w:rPr>
                <w:rFonts w:cs="Arial"/>
              </w:rPr>
            </w:pPr>
            <w:r w:rsidRPr="00BB03EB">
              <w:rPr>
                <w:rFonts w:cs="Arial"/>
                <w:bCs/>
              </w:rPr>
              <w:t>V</w:t>
            </w:r>
            <w:r w:rsidR="005F57BB" w:rsidRPr="00BB03EB">
              <w:rPr>
                <w:rFonts w:cs="Arial"/>
                <w:bCs/>
              </w:rPr>
              <w:t>ichřice</w:t>
            </w:r>
            <w:r>
              <w:rPr>
                <w:rFonts w:cs="Arial"/>
                <w:bCs/>
              </w:rPr>
              <w:t xml:space="preserve"> a</w:t>
            </w:r>
            <w:r w:rsidR="005F57BB" w:rsidRPr="00BB03EB">
              <w:rPr>
                <w:rFonts w:cs="Arial"/>
                <w:bCs/>
              </w:rPr>
              <w:t xml:space="preserve"> krupobití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14:paraId="182FF0B7" w14:textId="77777777" w:rsidR="005F57BB" w:rsidRPr="00BB03EB" w:rsidRDefault="005F57BB" w:rsidP="00B1170C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</w:rPr>
              <w:t>100.000.000</w:t>
            </w:r>
          </w:p>
        </w:tc>
        <w:tc>
          <w:tcPr>
            <w:tcW w:w="2552" w:type="dxa"/>
            <w:vAlign w:val="center"/>
          </w:tcPr>
          <w:p w14:paraId="02324CAA" w14:textId="4D99F51D" w:rsidR="005F57BB" w:rsidRPr="00BB03EB" w:rsidRDefault="00A4321E" w:rsidP="005F57BB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10% min. </w:t>
            </w:r>
            <w:r w:rsidR="005F57BB" w:rsidRPr="00BB03EB">
              <w:rPr>
                <w:rFonts w:cs="Arial"/>
              </w:rPr>
              <w:t>50.000</w:t>
            </w:r>
          </w:p>
        </w:tc>
      </w:tr>
      <w:tr w:rsidR="00A4321E" w:rsidRPr="00BB03EB" w14:paraId="57ACE6FB" w14:textId="77777777" w:rsidTr="00A4321E">
        <w:trPr>
          <w:trHeight w:val="397"/>
          <w:jc w:val="center"/>
        </w:trPr>
        <w:tc>
          <w:tcPr>
            <w:tcW w:w="5230" w:type="dxa"/>
            <w:tcBorders>
              <w:top w:val="single" w:sz="6" w:space="0" w:color="auto"/>
            </w:tcBorders>
            <w:vAlign w:val="center"/>
          </w:tcPr>
          <w:p w14:paraId="73A503D4" w14:textId="29937F6D" w:rsidR="00A4321E" w:rsidRPr="00BB03EB" w:rsidRDefault="00A4321E" w:rsidP="00B1170C">
            <w:pPr>
              <w:spacing w:line="320" w:lineRule="atLeast"/>
              <w:rPr>
                <w:rFonts w:cs="Arial"/>
              </w:rPr>
            </w:pPr>
            <w:r>
              <w:rPr>
                <w:rFonts w:cs="Arial"/>
                <w:bCs/>
              </w:rPr>
              <w:t>T</w:t>
            </w:r>
            <w:r w:rsidRPr="00BB03EB">
              <w:rPr>
                <w:rFonts w:cs="Arial"/>
                <w:bCs/>
              </w:rPr>
              <w:t>íha sněhu, pád stromu, stožáru nebo jiného předmětu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14:paraId="1C90C1FF" w14:textId="6343EFE5" w:rsidR="00A4321E" w:rsidRPr="00BB03EB" w:rsidRDefault="00A4321E" w:rsidP="00B1170C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</w:rPr>
              <w:t>100.000.000</w:t>
            </w:r>
          </w:p>
        </w:tc>
        <w:tc>
          <w:tcPr>
            <w:tcW w:w="2552" w:type="dxa"/>
            <w:vAlign w:val="center"/>
          </w:tcPr>
          <w:p w14:paraId="786F0F5A" w14:textId="0C940447" w:rsidR="00A4321E" w:rsidRPr="00BB03EB" w:rsidRDefault="00FE1F11" w:rsidP="005F57BB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>
              <w:rPr>
                <w:rFonts w:cs="Arial"/>
              </w:rPr>
              <w:t>10.000</w:t>
            </w:r>
          </w:p>
        </w:tc>
      </w:tr>
      <w:tr w:rsidR="00BB03EB" w:rsidRPr="00BB03EB" w14:paraId="56F01A3D" w14:textId="77777777" w:rsidTr="00A4321E">
        <w:trPr>
          <w:trHeight w:val="397"/>
          <w:jc w:val="center"/>
        </w:trPr>
        <w:tc>
          <w:tcPr>
            <w:tcW w:w="5230" w:type="dxa"/>
            <w:vAlign w:val="center"/>
          </w:tcPr>
          <w:p w14:paraId="01718178" w14:textId="77777777" w:rsidR="005F57BB" w:rsidRPr="00BB03EB" w:rsidRDefault="005F57BB" w:rsidP="00B1170C">
            <w:pPr>
              <w:tabs>
                <w:tab w:val="left" w:pos="567"/>
              </w:tabs>
              <w:spacing w:line="320" w:lineRule="atLeast"/>
              <w:jc w:val="both"/>
              <w:rPr>
                <w:rFonts w:cs="Arial"/>
                <w:bCs/>
              </w:rPr>
            </w:pPr>
            <w:r w:rsidRPr="00BB03EB">
              <w:rPr>
                <w:rFonts w:cs="Arial"/>
              </w:rPr>
              <w:t>Přírodní katastrofy</w:t>
            </w:r>
            <w:r w:rsidRPr="00BB03EB">
              <w:rPr>
                <w:rFonts w:cs="Arial"/>
                <w:b/>
                <w:bCs/>
              </w:rPr>
              <w:t xml:space="preserve"> </w:t>
            </w:r>
            <w:r w:rsidRPr="00BB03EB">
              <w:rPr>
                <w:rFonts w:cs="Arial"/>
              </w:rPr>
              <w:t>-</w:t>
            </w:r>
            <w:r w:rsidRPr="00BB03EB"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  <w:r w:rsidRPr="00BB03EB">
              <w:rPr>
                <w:rFonts w:cs="Arial"/>
              </w:rPr>
              <w:t>lavina, zemětřesení, výbuch sopky, sesuv půdy a zřícení skal</w:t>
            </w:r>
          </w:p>
        </w:tc>
        <w:tc>
          <w:tcPr>
            <w:tcW w:w="1701" w:type="dxa"/>
            <w:vAlign w:val="center"/>
          </w:tcPr>
          <w:p w14:paraId="7A809CC6" w14:textId="77777777" w:rsidR="005F57BB" w:rsidRPr="00BB03EB" w:rsidRDefault="005F57BB" w:rsidP="00B1170C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</w:rPr>
              <w:t>50.000.000</w:t>
            </w:r>
          </w:p>
        </w:tc>
        <w:tc>
          <w:tcPr>
            <w:tcW w:w="2552" w:type="dxa"/>
            <w:vAlign w:val="center"/>
          </w:tcPr>
          <w:p w14:paraId="6F02DCA0" w14:textId="77777777" w:rsidR="005F57BB" w:rsidRPr="00BB03EB" w:rsidRDefault="005F57BB" w:rsidP="005F57BB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</w:rPr>
              <w:t>10.000</w:t>
            </w:r>
          </w:p>
        </w:tc>
      </w:tr>
      <w:tr w:rsidR="00BB03EB" w:rsidRPr="00BB03EB" w14:paraId="6BFF1EA4" w14:textId="77777777" w:rsidTr="00A4321E">
        <w:trPr>
          <w:trHeight w:val="397"/>
          <w:jc w:val="center"/>
        </w:trPr>
        <w:tc>
          <w:tcPr>
            <w:tcW w:w="5230" w:type="dxa"/>
            <w:vAlign w:val="center"/>
          </w:tcPr>
          <w:p w14:paraId="542B711F" w14:textId="77777777" w:rsidR="005F57BB" w:rsidRPr="00BB03EB" w:rsidRDefault="005F57BB" w:rsidP="00B1170C">
            <w:pPr>
              <w:spacing w:line="320" w:lineRule="atLeast"/>
              <w:rPr>
                <w:rFonts w:cs="Arial"/>
              </w:rPr>
            </w:pPr>
            <w:r w:rsidRPr="00BB03EB">
              <w:rPr>
                <w:rFonts w:cs="Arial"/>
              </w:rPr>
              <w:t>Povodeň, záplava</w:t>
            </w:r>
          </w:p>
        </w:tc>
        <w:tc>
          <w:tcPr>
            <w:tcW w:w="1701" w:type="dxa"/>
            <w:vAlign w:val="center"/>
          </w:tcPr>
          <w:p w14:paraId="219F9FBC" w14:textId="77777777" w:rsidR="005F57BB" w:rsidRPr="00BB03EB" w:rsidRDefault="005F57BB" w:rsidP="00B1170C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</w:rPr>
              <w:t>50.000.000</w:t>
            </w:r>
          </w:p>
        </w:tc>
        <w:tc>
          <w:tcPr>
            <w:tcW w:w="2552" w:type="dxa"/>
            <w:vAlign w:val="center"/>
          </w:tcPr>
          <w:p w14:paraId="65E2719E" w14:textId="77777777" w:rsidR="005F57BB" w:rsidRPr="00BB03EB" w:rsidRDefault="005F57BB" w:rsidP="005F57BB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</w:rPr>
              <w:t>10 %, min. 25.000</w:t>
            </w:r>
          </w:p>
        </w:tc>
      </w:tr>
      <w:tr w:rsidR="00BB03EB" w:rsidRPr="00BB03EB" w14:paraId="1F13B528" w14:textId="77777777" w:rsidTr="00A4321E">
        <w:trPr>
          <w:trHeight w:val="397"/>
          <w:jc w:val="center"/>
        </w:trPr>
        <w:tc>
          <w:tcPr>
            <w:tcW w:w="5230" w:type="dxa"/>
            <w:vAlign w:val="center"/>
          </w:tcPr>
          <w:p w14:paraId="15185577" w14:textId="23C9E18F" w:rsidR="005F57BB" w:rsidRPr="00BB03EB" w:rsidRDefault="005F57BB" w:rsidP="00B1170C">
            <w:pPr>
              <w:spacing w:line="320" w:lineRule="atLeast"/>
              <w:rPr>
                <w:rFonts w:cs="Arial"/>
              </w:rPr>
            </w:pPr>
            <w:r w:rsidRPr="00BB03EB">
              <w:rPr>
                <w:rFonts w:cs="Arial"/>
              </w:rPr>
              <w:t>Nepřímý úder blesku</w:t>
            </w:r>
          </w:p>
        </w:tc>
        <w:tc>
          <w:tcPr>
            <w:tcW w:w="1701" w:type="dxa"/>
            <w:vAlign w:val="center"/>
          </w:tcPr>
          <w:p w14:paraId="619362BC" w14:textId="41F885D6" w:rsidR="005F57BB" w:rsidRPr="00BB03EB" w:rsidRDefault="005F57BB" w:rsidP="00B1170C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</w:rPr>
              <w:t>500.000</w:t>
            </w:r>
          </w:p>
        </w:tc>
        <w:tc>
          <w:tcPr>
            <w:tcW w:w="2552" w:type="dxa"/>
            <w:vAlign w:val="center"/>
          </w:tcPr>
          <w:p w14:paraId="29899B44" w14:textId="5245DAFD" w:rsidR="005F57BB" w:rsidRPr="00BB03EB" w:rsidRDefault="00A4321E" w:rsidP="005F57BB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>
              <w:rPr>
                <w:rFonts w:cs="Arial"/>
              </w:rPr>
              <w:t>5.000</w:t>
            </w:r>
          </w:p>
        </w:tc>
      </w:tr>
      <w:tr w:rsidR="00BB03EB" w:rsidRPr="00BB03EB" w14:paraId="72F07346" w14:textId="77777777" w:rsidTr="00A4321E">
        <w:trPr>
          <w:trHeight w:val="397"/>
          <w:jc w:val="center"/>
        </w:trPr>
        <w:tc>
          <w:tcPr>
            <w:tcW w:w="5230" w:type="dxa"/>
            <w:vAlign w:val="center"/>
          </w:tcPr>
          <w:p w14:paraId="604CB729" w14:textId="39BD67E0" w:rsidR="005F57BB" w:rsidRPr="00BB03EB" w:rsidRDefault="005F57BB" w:rsidP="0058590D">
            <w:pPr>
              <w:spacing w:line="320" w:lineRule="atLeast"/>
              <w:rPr>
                <w:rFonts w:cs="Arial"/>
              </w:rPr>
            </w:pPr>
            <w:r w:rsidRPr="00BB03EB">
              <w:rPr>
                <w:rFonts w:cs="Arial"/>
              </w:rPr>
              <w:t>Atmosférické srážky</w:t>
            </w:r>
          </w:p>
        </w:tc>
        <w:tc>
          <w:tcPr>
            <w:tcW w:w="1701" w:type="dxa"/>
            <w:vAlign w:val="center"/>
          </w:tcPr>
          <w:p w14:paraId="7A1B9814" w14:textId="19BAFEBC" w:rsidR="005F57BB" w:rsidRPr="00BB03EB" w:rsidRDefault="005F57BB" w:rsidP="0058590D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BB03EB">
              <w:rPr>
                <w:rFonts w:cs="Arial"/>
                <w:szCs w:val="20"/>
              </w:rPr>
              <w:t>100.000</w:t>
            </w:r>
          </w:p>
        </w:tc>
        <w:tc>
          <w:tcPr>
            <w:tcW w:w="2552" w:type="dxa"/>
            <w:vAlign w:val="center"/>
          </w:tcPr>
          <w:p w14:paraId="3489440A" w14:textId="7311C234" w:rsidR="005F57BB" w:rsidRPr="00BB03EB" w:rsidRDefault="00A4321E" w:rsidP="005F57BB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>
              <w:rPr>
                <w:rFonts w:cs="Arial"/>
              </w:rPr>
              <w:t>5.000</w:t>
            </w:r>
          </w:p>
        </w:tc>
      </w:tr>
      <w:tr w:rsidR="005F57BB" w:rsidRPr="00BB03EB" w14:paraId="64BAD232" w14:textId="77777777" w:rsidTr="00A4321E">
        <w:trPr>
          <w:trHeight w:val="397"/>
          <w:jc w:val="center"/>
        </w:trPr>
        <w:tc>
          <w:tcPr>
            <w:tcW w:w="5230" w:type="dxa"/>
            <w:vAlign w:val="center"/>
          </w:tcPr>
          <w:p w14:paraId="56E749BB" w14:textId="7ECFB0CD" w:rsidR="005F57BB" w:rsidRPr="00BB03EB" w:rsidRDefault="005F57BB" w:rsidP="003F41E6">
            <w:pPr>
              <w:tabs>
                <w:tab w:val="left" w:pos="567"/>
              </w:tabs>
              <w:spacing w:line="320" w:lineRule="atLeast"/>
              <w:jc w:val="both"/>
              <w:rPr>
                <w:rFonts w:cs="Arial"/>
              </w:rPr>
            </w:pPr>
            <w:r w:rsidRPr="00BB03EB">
              <w:rPr>
                <w:rFonts w:cs="Arial"/>
              </w:rPr>
              <w:t>Pojištění zateplené fasády ptactvem, hmyzem a hlodavci</w:t>
            </w:r>
          </w:p>
        </w:tc>
        <w:tc>
          <w:tcPr>
            <w:tcW w:w="1701" w:type="dxa"/>
            <w:vAlign w:val="center"/>
          </w:tcPr>
          <w:p w14:paraId="02046381" w14:textId="7009D565" w:rsidR="005F57BB" w:rsidRPr="00BB03EB" w:rsidRDefault="005F57BB" w:rsidP="0058590D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BB03EB">
              <w:rPr>
                <w:rFonts w:cs="Arial"/>
                <w:szCs w:val="20"/>
              </w:rPr>
              <w:t>150.000</w:t>
            </w:r>
          </w:p>
        </w:tc>
        <w:tc>
          <w:tcPr>
            <w:tcW w:w="2552" w:type="dxa"/>
            <w:vAlign w:val="center"/>
          </w:tcPr>
          <w:p w14:paraId="5CD38657" w14:textId="57172FC2" w:rsidR="005F57BB" w:rsidRPr="00BB03EB" w:rsidRDefault="00A4321E" w:rsidP="005F57BB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5F57BB" w:rsidRPr="00BB03EB">
              <w:rPr>
                <w:rFonts w:cs="Arial"/>
              </w:rPr>
              <w:t>.000</w:t>
            </w:r>
          </w:p>
        </w:tc>
      </w:tr>
    </w:tbl>
    <w:p w14:paraId="144EA5E7" w14:textId="77777777" w:rsidR="009B3CBB" w:rsidRPr="00BB03EB" w:rsidRDefault="009B3CBB" w:rsidP="009B3CBB">
      <w:pPr>
        <w:spacing w:line="320" w:lineRule="atLeast"/>
        <w:ind w:left="567"/>
        <w:jc w:val="both"/>
        <w:rPr>
          <w:rFonts w:cs="Arial"/>
          <w:b/>
          <w:bCs/>
          <w:sz w:val="22"/>
          <w:szCs w:val="22"/>
        </w:rPr>
      </w:pPr>
    </w:p>
    <w:p w14:paraId="1DEE6DD9" w14:textId="77777777" w:rsidR="009B3CBB" w:rsidRPr="00BB03EB" w:rsidRDefault="009B3CBB" w:rsidP="009B3CBB">
      <w:pPr>
        <w:spacing w:line="320" w:lineRule="atLeast"/>
        <w:ind w:left="567"/>
        <w:jc w:val="both"/>
        <w:rPr>
          <w:rFonts w:cs="Arial"/>
          <w:b/>
          <w:bCs/>
          <w:sz w:val="22"/>
          <w:szCs w:val="22"/>
        </w:rPr>
      </w:pPr>
    </w:p>
    <w:p w14:paraId="0DB8B063" w14:textId="77777777" w:rsidR="009B3CBB" w:rsidRPr="00BB03EB" w:rsidRDefault="009B3CBB">
      <w:pPr>
        <w:spacing w:after="160" w:line="259" w:lineRule="auto"/>
        <w:rPr>
          <w:rFonts w:cs="Arial"/>
          <w:b/>
          <w:bCs/>
          <w:sz w:val="22"/>
          <w:szCs w:val="22"/>
        </w:rPr>
      </w:pPr>
      <w:r w:rsidRPr="00BB03EB">
        <w:rPr>
          <w:rFonts w:cs="Arial"/>
          <w:b/>
          <w:bCs/>
          <w:sz w:val="22"/>
          <w:szCs w:val="22"/>
        </w:rPr>
        <w:br w:type="page"/>
      </w:r>
    </w:p>
    <w:p w14:paraId="08FFF89D" w14:textId="7E97686F" w:rsidR="00E85AB4" w:rsidRPr="00BB03EB" w:rsidRDefault="00E85AB4" w:rsidP="009D771C">
      <w:pPr>
        <w:numPr>
          <w:ilvl w:val="0"/>
          <w:numId w:val="1"/>
        </w:numPr>
        <w:tabs>
          <w:tab w:val="clear" w:pos="720"/>
          <w:tab w:val="num" w:pos="567"/>
        </w:tabs>
        <w:spacing w:line="320" w:lineRule="atLeast"/>
        <w:ind w:left="567" w:hanging="567"/>
        <w:jc w:val="both"/>
        <w:rPr>
          <w:rFonts w:cs="Arial"/>
          <w:b/>
          <w:bCs/>
          <w:sz w:val="22"/>
          <w:szCs w:val="22"/>
        </w:rPr>
      </w:pPr>
      <w:r w:rsidRPr="00BB03EB">
        <w:rPr>
          <w:rFonts w:cs="Arial"/>
          <w:b/>
          <w:bCs/>
          <w:sz w:val="22"/>
          <w:szCs w:val="22"/>
        </w:rPr>
        <w:t>Pojištění nákladů</w:t>
      </w:r>
    </w:p>
    <w:p w14:paraId="6CE5A704" w14:textId="77777777" w:rsidR="00E85AB4" w:rsidRPr="00BB03EB" w:rsidRDefault="00E85AB4" w:rsidP="00E85AB4">
      <w:pPr>
        <w:spacing w:line="320" w:lineRule="atLeast"/>
        <w:ind w:left="567"/>
        <w:jc w:val="both"/>
        <w:rPr>
          <w:rFonts w:cs="Arial"/>
          <w:b/>
          <w:bCs/>
          <w:sz w:val="22"/>
          <w:szCs w:val="22"/>
        </w:rPr>
      </w:pPr>
    </w:p>
    <w:tbl>
      <w:tblPr>
        <w:tblW w:w="9980" w:type="dxa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1"/>
        <w:gridCol w:w="2268"/>
        <w:gridCol w:w="1701"/>
      </w:tblGrid>
      <w:tr w:rsidR="00BB03EB" w:rsidRPr="00BB03EB" w14:paraId="35DDA028" w14:textId="77777777" w:rsidTr="00BB03EB">
        <w:trPr>
          <w:trHeight w:val="794"/>
        </w:trPr>
        <w:tc>
          <w:tcPr>
            <w:tcW w:w="6011" w:type="dxa"/>
            <w:shd w:val="clear" w:color="auto" w:fill="808080" w:themeFill="background1" w:themeFillShade="80"/>
            <w:vAlign w:val="center"/>
          </w:tcPr>
          <w:p w14:paraId="3A49D3BA" w14:textId="77777777" w:rsidR="00E85AB4" w:rsidRPr="00BB03EB" w:rsidRDefault="00E85AB4" w:rsidP="0066145B">
            <w:pPr>
              <w:spacing w:line="320" w:lineRule="atLeast"/>
              <w:jc w:val="center"/>
              <w:rPr>
                <w:rFonts w:ascii="Verdana" w:hAnsi="Verdana" w:cs="Arial"/>
                <w:b/>
                <w:bCs/>
              </w:rPr>
            </w:pPr>
            <w:r w:rsidRPr="00BB03EB">
              <w:rPr>
                <w:rFonts w:ascii="Verdana" w:hAnsi="Verdana" w:cs="Arial"/>
                <w:b/>
                <w:bCs/>
              </w:rPr>
              <w:t>Předmět pojištění</w:t>
            </w:r>
          </w:p>
        </w:tc>
        <w:tc>
          <w:tcPr>
            <w:tcW w:w="2268" w:type="dxa"/>
            <w:shd w:val="clear" w:color="auto" w:fill="808080" w:themeFill="background1" w:themeFillShade="80"/>
            <w:vAlign w:val="center"/>
          </w:tcPr>
          <w:p w14:paraId="3D4C528C" w14:textId="77777777" w:rsidR="00E85AB4" w:rsidRPr="00BB03EB" w:rsidRDefault="00E85AB4" w:rsidP="0066145B">
            <w:pPr>
              <w:spacing w:line="320" w:lineRule="atLeast"/>
              <w:jc w:val="center"/>
              <w:rPr>
                <w:rFonts w:ascii="Verdana" w:hAnsi="Verdana" w:cs="Arial"/>
                <w:b/>
                <w:bCs/>
              </w:rPr>
            </w:pPr>
            <w:r w:rsidRPr="00BB03EB">
              <w:rPr>
                <w:rFonts w:ascii="Verdana" w:hAnsi="Verdana" w:cs="Arial"/>
                <w:b/>
                <w:bCs/>
              </w:rPr>
              <w:t>Pojistná částka</w:t>
            </w:r>
          </w:p>
          <w:p w14:paraId="3407A5BE" w14:textId="77777777" w:rsidR="00E85AB4" w:rsidRPr="00BB03EB" w:rsidRDefault="00E85AB4" w:rsidP="0066145B">
            <w:pPr>
              <w:spacing w:line="320" w:lineRule="atLeast"/>
              <w:jc w:val="center"/>
              <w:rPr>
                <w:rFonts w:ascii="Verdana" w:hAnsi="Verdana" w:cs="Arial"/>
                <w:b/>
                <w:bCs/>
              </w:rPr>
            </w:pPr>
            <w:r w:rsidRPr="00BB03EB">
              <w:rPr>
                <w:rFonts w:ascii="Verdana" w:hAnsi="Verdana" w:cs="Arial"/>
                <w:b/>
                <w:bCs/>
              </w:rPr>
              <w:t>(v Kč)</w:t>
            </w:r>
          </w:p>
        </w:tc>
        <w:tc>
          <w:tcPr>
            <w:tcW w:w="1701" w:type="dxa"/>
            <w:shd w:val="clear" w:color="auto" w:fill="808080" w:themeFill="background1" w:themeFillShade="80"/>
            <w:vAlign w:val="center"/>
          </w:tcPr>
          <w:p w14:paraId="246E3E8B" w14:textId="77777777" w:rsidR="00E85AB4" w:rsidRPr="00BB03EB" w:rsidRDefault="00E85AB4" w:rsidP="0066145B">
            <w:pPr>
              <w:spacing w:line="320" w:lineRule="atLeast"/>
              <w:jc w:val="center"/>
              <w:rPr>
                <w:rFonts w:ascii="Verdana" w:hAnsi="Verdana" w:cs="Arial"/>
                <w:b/>
                <w:bCs/>
              </w:rPr>
            </w:pPr>
            <w:r w:rsidRPr="00BB03EB">
              <w:rPr>
                <w:rFonts w:ascii="Verdana" w:hAnsi="Verdana" w:cs="Arial"/>
                <w:b/>
                <w:bCs/>
              </w:rPr>
              <w:t>Spoluúčast</w:t>
            </w:r>
          </w:p>
          <w:p w14:paraId="34623024" w14:textId="77777777" w:rsidR="00E85AB4" w:rsidRPr="00BB03EB" w:rsidRDefault="00E85AB4" w:rsidP="0066145B">
            <w:pPr>
              <w:spacing w:line="320" w:lineRule="atLeast"/>
              <w:jc w:val="center"/>
              <w:rPr>
                <w:rFonts w:ascii="Verdana" w:hAnsi="Verdana" w:cs="Arial"/>
                <w:b/>
                <w:bCs/>
              </w:rPr>
            </w:pPr>
            <w:r w:rsidRPr="00BB03EB">
              <w:rPr>
                <w:rFonts w:ascii="Verdana" w:hAnsi="Verdana" w:cs="Arial"/>
                <w:b/>
                <w:bCs/>
              </w:rPr>
              <w:t>(v Kč)</w:t>
            </w:r>
          </w:p>
        </w:tc>
      </w:tr>
      <w:tr w:rsidR="00BB03EB" w:rsidRPr="00BB03EB" w14:paraId="3A20863F" w14:textId="77777777" w:rsidTr="0066145B">
        <w:trPr>
          <w:trHeight w:val="397"/>
        </w:trPr>
        <w:tc>
          <w:tcPr>
            <w:tcW w:w="9980" w:type="dxa"/>
            <w:gridSpan w:val="3"/>
            <w:shd w:val="clear" w:color="auto" w:fill="D9D9D9"/>
            <w:vAlign w:val="center"/>
          </w:tcPr>
          <w:p w14:paraId="1255F886" w14:textId="77777777" w:rsidR="00E85AB4" w:rsidRPr="00BB03EB" w:rsidRDefault="00E85AB4" w:rsidP="0066145B">
            <w:pPr>
              <w:spacing w:before="20" w:after="20"/>
              <w:rPr>
                <w:rFonts w:cs="Arial"/>
                <w:szCs w:val="20"/>
              </w:rPr>
            </w:pPr>
            <w:r w:rsidRPr="00BB03EB">
              <w:rPr>
                <w:rFonts w:cs="Arial"/>
                <w:b/>
                <w:bCs/>
                <w:szCs w:val="20"/>
              </w:rPr>
              <w:t>Místa pojištění:</w:t>
            </w:r>
          </w:p>
          <w:p w14:paraId="072BE5EE" w14:textId="77777777" w:rsidR="00E85AB4" w:rsidRPr="00BB03EB" w:rsidRDefault="00E85AB4" w:rsidP="0066145B">
            <w:pPr>
              <w:pStyle w:val="Odstavecseseznamem"/>
              <w:numPr>
                <w:ilvl w:val="0"/>
                <w:numId w:val="25"/>
              </w:numPr>
              <w:spacing w:after="120" w:line="320" w:lineRule="atLeast"/>
              <w:ind w:left="714" w:hanging="357"/>
              <w:jc w:val="both"/>
              <w:rPr>
                <w:rFonts w:cs="Arial"/>
                <w:szCs w:val="20"/>
              </w:rPr>
            </w:pPr>
            <w:r w:rsidRPr="00BB03EB">
              <w:rPr>
                <w:rFonts w:cs="Arial"/>
                <w:szCs w:val="20"/>
              </w:rPr>
              <w:t>Všechna místa pojištění</w:t>
            </w:r>
          </w:p>
        </w:tc>
      </w:tr>
      <w:tr w:rsidR="00BB03EB" w:rsidRPr="00BB03EB" w14:paraId="78A511E4" w14:textId="77777777" w:rsidTr="0066145B">
        <w:trPr>
          <w:trHeight w:val="794"/>
        </w:trPr>
        <w:tc>
          <w:tcPr>
            <w:tcW w:w="6011" w:type="dxa"/>
            <w:vAlign w:val="center"/>
          </w:tcPr>
          <w:p w14:paraId="0CCAEDDD" w14:textId="77777777" w:rsidR="00E85AB4" w:rsidRPr="00BB03EB" w:rsidRDefault="00E85AB4" w:rsidP="0066145B">
            <w:pPr>
              <w:suppressAutoHyphens/>
              <w:spacing w:before="120" w:line="320" w:lineRule="atLeast"/>
              <w:jc w:val="both"/>
            </w:pPr>
            <w:r w:rsidRPr="00BB03EB">
              <w:t>Nad rámec zachraňovacích nákladů ve smyslu § 2819 zákona č. 89/2012 Sb., občanský zákoník, poskytne pojistitel doložené náklady vynaložené pojištěným v souvislosti s pojistnou událostí na:</w:t>
            </w:r>
          </w:p>
          <w:p w14:paraId="6013FBFE" w14:textId="77777777" w:rsidR="00E85AB4" w:rsidRPr="00BB03EB" w:rsidRDefault="00E85AB4" w:rsidP="0085147A">
            <w:pPr>
              <w:numPr>
                <w:ilvl w:val="0"/>
                <w:numId w:val="33"/>
              </w:numPr>
              <w:suppressAutoHyphens/>
              <w:spacing w:line="320" w:lineRule="atLeast"/>
              <w:ind w:left="714" w:hanging="357"/>
              <w:jc w:val="both"/>
            </w:pPr>
            <w:r w:rsidRPr="00BB03EB">
              <w:t>úklid, vyklízení a čištění místa pojištění a jeho okolí</w:t>
            </w:r>
          </w:p>
          <w:p w14:paraId="79B72EC3" w14:textId="77777777" w:rsidR="00E85AB4" w:rsidRPr="00BB03EB" w:rsidRDefault="00E85AB4" w:rsidP="0085147A">
            <w:pPr>
              <w:numPr>
                <w:ilvl w:val="0"/>
                <w:numId w:val="33"/>
              </w:numPr>
              <w:suppressAutoHyphens/>
              <w:spacing w:line="320" w:lineRule="atLeast"/>
              <w:ind w:left="714" w:hanging="357"/>
              <w:jc w:val="both"/>
            </w:pPr>
            <w:r w:rsidRPr="00BB03EB">
              <w:t>dekontaminaci místa pojištění a jeho okolí</w:t>
            </w:r>
          </w:p>
          <w:p w14:paraId="0389F9D6" w14:textId="77777777" w:rsidR="00E85AB4" w:rsidRPr="00BB03EB" w:rsidRDefault="00E85AB4" w:rsidP="0085147A">
            <w:pPr>
              <w:numPr>
                <w:ilvl w:val="0"/>
                <w:numId w:val="33"/>
              </w:numPr>
              <w:suppressAutoHyphens/>
              <w:spacing w:line="320" w:lineRule="atLeast"/>
              <w:ind w:left="714" w:hanging="357"/>
              <w:jc w:val="both"/>
            </w:pPr>
            <w:r w:rsidRPr="00BB03EB">
              <w:t>odvoz a likvidaci odpadu</w:t>
            </w:r>
          </w:p>
          <w:p w14:paraId="5F42381E" w14:textId="77777777" w:rsidR="00E85AB4" w:rsidRPr="00BB03EB" w:rsidRDefault="00E85AB4" w:rsidP="0085147A">
            <w:pPr>
              <w:numPr>
                <w:ilvl w:val="0"/>
                <w:numId w:val="33"/>
              </w:numPr>
              <w:suppressAutoHyphens/>
              <w:spacing w:line="320" w:lineRule="atLeast"/>
              <w:ind w:left="714" w:hanging="357"/>
              <w:jc w:val="both"/>
            </w:pPr>
            <w:r w:rsidRPr="00BB03EB">
              <w:t>demolici a demontáž vč. demontáže nepoškozených předmětů, které však s poškozeným majetkem funkčně souvisí</w:t>
            </w:r>
          </w:p>
          <w:p w14:paraId="0A6FCBA4" w14:textId="77777777" w:rsidR="00E85AB4" w:rsidRPr="00BB03EB" w:rsidRDefault="00E85AB4" w:rsidP="0085147A">
            <w:pPr>
              <w:numPr>
                <w:ilvl w:val="0"/>
                <w:numId w:val="33"/>
              </w:numPr>
              <w:suppressAutoHyphens/>
              <w:spacing w:line="320" w:lineRule="atLeast"/>
              <w:ind w:left="714" w:hanging="357"/>
              <w:jc w:val="both"/>
            </w:pPr>
            <w:r w:rsidRPr="00BB03EB">
              <w:t>dočasné přemístění majetku (doprava a skladování)</w:t>
            </w:r>
          </w:p>
          <w:p w14:paraId="7DE405E7" w14:textId="77777777" w:rsidR="00E85AB4" w:rsidRPr="00BB03EB" w:rsidRDefault="00E85AB4" w:rsidP="0085147A">
            <w:pPr>
              <w:numPr>
                <w:ilvl w:val="0"/>
                <w:numId w:val="33"/>
              </w:numPr>
              <w:suppressAutoHyphens/>
              <w:spacing w:line="320" w:lineRule="atLeast"/>
              <w:ind w:left="714" w:hanging="357"/>
              <w:jc w:val="both"/>
            </w:pPr>
            <w:r w:rsidRPr="00BB03EB">
              <w:t>obnovu náplní hasicích přístrojů, hasicích a obdobných zařízení (ochranných systémů pro potlačení výbuchu apod.)</w:t>
            </w:r>
          </w:p>
          <w:p w14:paraId="2FC35905" w14:textId="77777777" w:rsidR="00E85AB4" w:rsidRPr="00BB03EB" w:rsidRDefault="00E85AB4" w:rsidP="0066145B">
            <w:pPr>
              <w:suppressAutoHyphens/>
              <w:spacing w:before="120" w:line="320" w:lineRule="atLeast"/>
              <w:jc w:val="both"/>
            </w:pPr>
            <w:r w:rsidRPr="00BB03EB">
              <w:rPr>
                <w:iCs/>
              </w:rPr>
              <w:t>Pojistné plnění bude poskytnuto nad rámec ostatních sjednaných pojistných částek a limitů plnění.</w:t>
            </w:r>
            <w:r w:rsidRPr="00BB03EB">
              <w:t xml:space="preserve"> </w:t>
            </w:r>
          </w:p>
          <w:p w14:paraId="743AD015" w14:textId="77777777" w:rsidR="00E85AB4" w:rsidRPr="00BB03EB" w:rsidRDefault="00E85AB4" w:rsidP="0066145B">
            <w:pPr>
              <w:spacing w:line="320" w:lineRule="atLeast"/>
              <w:rPr>
                <w:rFonts w:ascii="Verdana" w:hAnsi="Verdana" w:cs="Arial"/>
              </w:rPr>
            </w:pPr>
          </w:p>
        </w:tc>
        <w:tc>
          <w:tcPr>
            <w:tcW w:w="2268" w:type="dxa"/>
            <w:vAlign w:val="center"/>
          </w:tcPr>
          <w:p w14:paraId="4B33FB32" w14:textId="77777777" w:rsidR="00E85AB4" w:rsidRPr="00BB03EB" w:rsidRDefault="00E85AB4" w:rsidP="0066145B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BB03EB">
              <w:rPr>
                <w:rFonts w:cs="Arial"/>
                <w:szCs w:val="20"/>
              </w:rPr>
              <w:t>50.000.000</w:t>
            </w:r>
          </w:p>
          <w:p w14:paraId="0F4DA979" w14:textId="3775FC24" w:rsidR="003B1285" w:rsidRPr="00BB03EB" w:rsidRDefault="003B1285" w:rsidP="0066145B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  <w:szCs w:val="20"/>
              </w:rPr>
              <w:t>1. riziko</w:t>
            </w:r>
          </w:p>
        </w:tc>
        <w:tc>
          <w:tcPr>
            <w:tcW w:w="1701" w:type="dxa"/>
            <w:vAlign w:val="center"/>
          </w:tcPr>
          <w:p w14:paraId="316B338A" w14:textId="77777777" w:rsidR="00E85AB4" w:rsidRPr="00BB03EB" w:rsidRDefault="00E85AB4" w:rsidP="0066145B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</w:rPr>
              <w:t>1.000</w:t>
            </w:r>
          </w:p>
        </w:tc>
      </w:tr>
      <w:tr w:rsidR="00BB03EB" w:rsidRPr="00BB03EB" w14:paraId="2C85D023" w14:textId="77777777" w:rsidTr="0066145B">
        <w:trPr>
          <w:trHeight w:val="794"/>
        </w:trPr>
        <w:tc>
          <w:tcPr>
            <w:tcW w:w="6011" w:type="dxa"/>
            <w:vAlign w:val="center"/>
          </w:tcPr>
          <w:p w14:paraId="6FAC5315" w14:textId="77777777" w:rsidR="00E85AB4" w:rsidRPr="00BB03EB" w:rsidRDefault="00E85AB4" w:rsidP="0066145B">
            <w:pPr>
              <w:spacing w:line="320" w:lineRule="atLeast"/>
              <w:rPr>
                <w:rFonts w:cs="Arial"/>
                <w:szCs w:val="20"/>
              </w:rPr>
            </w:pPr>
            <w:r w:rsidRPr="00BB03EB">
              <w:rPr>
                <w:rFonts w:cs="Arial"/>
              </w:rPr>
              <w:t>Náklady vzniklé v souvislosti s pojistným nebezpečím - odcizení</w:t>
            </w:r>
          </w:p>
        </w:tc>
        <w:tc>
          <w:tcPr>
            <w:tcW w:w="2268" w:type="dxa"/>
            <w:vAlign w:val="center"/>
          </w:tcPr>
          <w:p w14:paraId="7CC21F98" w14:textId="77777777" w:rsidR="00E85AB4" w:rsidRPr="00BB03EB" w:rsidRDefault="00E85AB4" w:rsidP="0066145B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BB03EB">
              <w:rPr>
                <w:rFonts w:cs="Arial"/>
                <w:szCs w:val="20"/>
              </w:rPr>
              <w:t>200.000</w:t>
            </w:r>
          </w:p>
          <w:p w14:paraId="40FC4530" w14:textId="3E4302DB" w:rsidR="003B1285" w:rsidRPr="00BB03EB" w:rsidRDefault="003B1285" w:rsidP="0066145B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  <w:szCs w:val="20"/>
              </w:rPr>
              <w:t>1. riziko</w:t>
            </w:r>
          </w:p>
        </w:tc>
        <w:tc>
          <w:tcPr>
            <w:tcW w:w="1701" w:type="dxa"/>
            <w:vAlign w:val="center"/>
          </w:tcPr>
          <w:p w14:paraId="28F72652" w14:textId="77777777" w:rsidR="00E85AB4" w:rsidRPr="00BB03EB" w:rsidRDefault="00E85AB4" w:rsidP="0066145B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</w:rPr>
              <w:t>1.000</w:t>
            </w:r>
          </w:p>
        </w:tc>
      </w:tr>
      <w:tr w:rsidR="00BB03EB" w:rsidRPr="00BB03EB" w14:paraId="0D8F3C29" w14:textId="77777777" w:rsidTr="005F57BB">
        <w:trPr>
          <w:trHeight w:val="794"/>
        </w:trPr>
        <w:tc>
          <w:tcPr>
            <w:tcW w:w="6011" w:type="dxa"/>
            <w:vAlign w:val="center"/>
          </w:tcPr>
          <w:p w14:paraId="21F82564" w14:textId="39AAF4FB" w:rsidR="005F57BB" w:rsidRPr="00BB03EB" w:rsidRDefault="005F57BB" w:rsidP="0066145B">
            <w:pPr>
              <w:spacing w:line="320" w:lineRule="atLeast"/>
              <w:ind w:right="170"/>
              <w:rPr>
                <w:rFonts w:cs="Arial"/>
              </w:rPr>
            </w:pPr>
            <w:r w:rsidRPr="00BB03EB">
              <w:rPr>
                <w:rFonts w:cs="Arial"/>
              </w:rPr>
              <w:t xml:space="preserve">Sublimit pro náklady na výměnu zámků </w:t>
            </w:r>
          </w:p>
        </w:tc>
        <w:tc>
          <w:tcPr>
            <w:tcW w:w="2268" w:type="dxa"/>
            <w:vAlign w:val="center"/>
          </w:tcPr>
          <w:p w14:paraId="37B03905" w14:textId="77777777" w:rsidR="005F57BB" w:rsidRPr="00BB03EB" w:rsidRDefault="005F57BB" w:rsidP="005F57BB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</w:rPr>
              <w:t>20.000</w:t>
            </w:r>
          </w:p>
          <w:p w14:paraId="47BF24B3" w14:textId="41ECEF73" w:rsidR="005F57BB" w:rsidRPr="00BB03EB" w:rsidRDefault="005F57BB" w:rsidP="005F57BB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</w:rPr>
              <w:t>1. riziko</w:t>
            </w:r>
          </w:p>
        </w:tc>
        <w:tc>
          <w:tcPr>
            <w:tcW w:w="1701" w:type="dxa"/>
            <w:vAlign w:val="center"/>
          </w:tcPr>
          <w:p w14:paraId="248E98F9" w14:textId="5A5C71CE" w:rsidR="005F57BB" w:rsidRPr="00BB03EB" w:rsidRDefault="005F57BB" w:rsidP="005F57BB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</w:rPr>
              <w:t>1.000</w:t>
            </w:r>
          </w:p>
        </w:tc>
      </w:tr>
      <w:tr w:rsidR="00BB03EB" w:rsidRPr="00BB03EB" w14:paraId="44A3EBED" w14:textId="77777777" w:rsidTr="0066145B">
        <w:trPr>
          <w:trHeight w:val="794"/>
        </w:trPr>
        <w:tc>
          <w:tcPr>
            <w:tcW w:w="6011" w:type="dxa"/>
            <w:vAlign w:val="center"/>
          </w:tcPr>
          <w:p w14:paraId="4B03B11C" w14:textId="77777777" w:rsidR="00E85AB4" w:rsidRPr="00BB03EB" w:rsidRDefault="00E85AB4" w:rsidP="0066145B">
            <w:pPr>
              <w:spacing w:line="320" w:lineRule="atLeast"/>
              <w:rPr>
                <w:rFonts w:cs="Arial"/>
              </w:rPr>
            </w:pPr>
            <w:r w:rsidRPr="00BB03EB">
              <w:rPr>
                <w:rFonts w:cs="Arial"/>
              </w:rPr>
              <w:t>Vodné a stočné</w:t>
            </w:r>
          </w:p>
        </w:tc>
        <w:tc>
          <w:tcPr>
            <w:tcW w:w="2268" w:type="dxa"/>
            <w:vAlign w:val="center"/>
          </w:tcPr>
          <w:p w14:paraId="17FB7075" w14:textId="26E00810" w:rsidR="00E85AB4" w:rsidRPr="00BB03EB" w:rsidRDefault="003836D8" w:rsidP="0066145B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100</w:t>
            </w:r>
            <w:r w:rsidR="00E85AB4" w:rsidRPr="00BB03EB">
              <w:rPr>
                <w:rFonts w:cs="Arial"/>
                <w:szCs w:val="20"/>
              </w:rPr>
              <w:t>.000</w:t>
            </w:r>
          </w:p>
          <w:p w14:paraId="67AE4C32" w14:textId="2415FF03" w:rsidR="003B1285" w:rsidRPr="00BB03EB" w:rsidRDefault="003B1285" w:rsidP="0066145B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BB03EB">
              <w:rPr>
                <w:rFonts w:cs="Arial"/>
                <w:szCs w:val="20"/>
              </w:rPr>
              <w:t>1. riziko</w:t>
            </w:r>
          </w:p>
        </w:tc>
        <w:tc>
          <w:tcPr>
            <w:tcW w:w="1701" w:type="dxa"/>
            <w:vAlign w:val="center"/>
          </w:tcPr>
          <w:p w14:paraId="24AE0FE1" w14:textId="77777777" w:rsidR="00E85AB4" w:rsidRPr="00BB03EB" w:rsidRDefault="00E85AB4" w:rsidP="0066145B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</w:rPr>
              <w:t>1.000</w:t>
            </w:r>
          </w:p>
        </w:tc>
      </w:tr>
      <w:tr w:rsidR="00BB03EB" w:rsidRPr="00BB03EB" w14:paraId="5DD715D8" w14:textId="77777777" w:rsidTr="0066145B">
        <w:trPr>
          <w:trHeight w:val="794"/>
        </w:trPr>
        <w:tc>
          <w:tcPr>
            <w:tcW w:w="6011" w:type="dxa"/>
            <w:vAlign w:val="center"/>
          </w:tcPr>
          <w:p w14:paraId="5F69B02B" w14:textId="11A629DF" w:rsidR="0085147A" w:rsidRPr="00BB03EB" w:rsidRDefault="0085147A" w:rsidP="0085147A">
            <w:pPr>
              <w:spacing w:line="320" w:lineRule="atLeast"/>
              <w:rPr>
                <w:highlight w:val="yellow"/>
              </w:rPr>
            </w:pPr>
            <w:r w:rsidRPr="00BB03EB">
              <w:rPr>
                <w:rFonts w:cs="Arial"/>
              </w:rPr>
              <w:t>Pojištění nákladů na terénní a parkové úpravy</w:t>
            </w:r>
            <w:r w:rsidRPr="00BB03EB">
              <w:rPr>
                <w:b/>
                <w:bCs/>
                <w:highlight w:val="yellow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B65342D" w14:textId="151A5F23" w:rsidR="0085147A" w:rsidRPr="00BB03EB" w:rsidRDefault="003836D8" w:rsidP="0066145B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1.000</w:t>
            </w:r>
            <w:r w:rsidR="0085147A" w:rsidRPr="00BB03EB">
              <w:rPr>
                <w:rFonts w:cs="Arial"/>
                <w:szCs w:val="20"/>
              </w:rPr>
              <w:t>.000</w:t>
            </w:r>
          </w:p>
          <w:p w14:paraId="749858C1" w14:textId="348F8315" w:rsidR="003B1285" w:rsidRPr="00BB03EB" w:rsidRDefault="003B1285" w:rsidP="0066145B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BB03EB">
              <w:rPr>
                <w:rFonts w:cs="Arial"/>
                <w:szCs w:val="20"/>
              </w:rPr>
              <w:t>1. riziko</w:t>
            </w:r>
          </w:p>
        </w:tc>
        <w:tc>
          <w:tcPr>
            <w:tcW w:w="1701" w:type="dxa"/>
            <w:vAlign w:val="center"/>
          </w:tcPr>
          <w:p w14:paraId="1391DCFA" w14:textId="66B0113A" w:rsidR="0085147A" w:rsidRPr="00BB03EB" w:rsidRDefault="0085147A" w:rsidP="0066145B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</w:rPr>
              <w:t>1.000</w:t>
            </w:r>
          </w:p>
        </w:tc>
      </w:tr>
    </w:tbl>
    <w:p w14:paraId="1699131D" w14:textId="77777777" w:rsidR="00E85AB4" w:rsidRPr="00BB03EB" w:rsidRDefault="00E85AB4" w:rsidP="00E85AB4">
      <w:pPr>
        <w:spacing w:line="320" w:lineRule="atLeast"/>
        <w:ind w:left="567"/>
        <w:jc w:val="both"/>
        <w:rPr>
          <w:rFonts w:cs="Arial"/>
          <w:b/>
          <w:bCs/>
          <w:sz w:val="22"/>
          <w:szCs w:val="22"/>
        </w:rPr>
      </w:pPr>
    </w:p>
    <w:p w14:paraId="4649FF33" w14:textId="6FC742B2" w:rsidR="0085147A" w:rsidRPr="00BB03EB" w:rsidRDefault="0085147A" w:rsidP="0085147A">
      <w:pPr>
        <w:suppressAutoHyphens/>
        <w:spacing w:before="2"/>
      </w:pPr>
      <w:r w:rsidRPr="00BB03EB">
        <w:rPr>
          <w:b/>
          <w:bCs/>
        </w:rPr>
        <w:t xml:space="preserve">Smluvní ujednání - Pojištění nákladů na terénní a parkové úpravy </w:t>
      </w:r>
    </w:p>
    <w:p w14:paraId="1FD00FE9" w14:textId="77777777" w:rsidR="0085147A" w:rsidRPr="00BB03EB" w:rsidRDefault="0085147A" w:rsidP="0085147A">
      <w:pPr>
        <w:suppressAutoHyphens/>
        <w:spacing w:before="120" w:line="320" w:lineRule="atLeast"/>
        <w:jc w:val="both"/>
      </w:pPr>
      <w:r w:rsidRPr="00BB03EB">
        <w:t xml:space="preserve">Sjednává se pojištění nákladů na terénní a parkové úpravy v místě pojištění, vynaložené pojištěným v souvislosti s pojistnou událostí, jejím odvracením či likvidací. Zejména se jedná o poničení terénu, zeleně a dalšího majetku tvořící exteriér místa pojištění jako lavičky, osvětlení, ploty, zpevněné plochy ad. K poškození může dojít požární, dopravní či stavební technikou nebo v důsledku dalších opatření nutných k odvracení a likvidaci škody. </w:t>
      </w:r>
    </w:p>
    <w:p w14:paraId="508CAB22" w14:textId="77777777" w:rsidR="0085147A" w:rsidRPr="00BB03EB" w:rsidRDefault="0085147A" w:rsidP="0085147A">
      <w:pPr>
        <w:suppressAutoHyphens/>
        <w:spacing w:before="120" w:line="320" w:lineRule="atLeast"/>
        <w:jc w:val="both"/>
        <w:rPr>
          <w:highlight w:val="yellow"/>
        </w:rPr>
      </w:pPr>
    </w:p>
    <w:p w14:paraId="34E9AE39" w14:textId="5EF15F66" w:rsidR="009D771C" w:rsidRPr="00BB03EB" w:rsidRDefault="009D771C" w:rsidP="009D771C">
      <w:pPr>
        <w:numPr>
          <w:ilvl w:val="0"/>
          <w:numId w:val="1"/>
        </w:numPr>
        <w:tabs>
          <w:tab w:val="clear" w:pos="720"/>
          <w:tab w:val="num" w:pos="567"/>
        </w:tabs>
        <w:spacing w:line="320" w:lineRule="atLeast"/>
        <w:ind w:left="567" w:hanging="567"/>
        <w:jc w:val="both"/>
        <w:rPr>
          <w:rFonts w:cs="Arial"/>
          <w:b/>
          <w:bCs/>
          <w:sz w:val="22"/>
          <w:szCs w:val="22"/>
        </w:rPr>
      </w:pPr>
      <w:r w:rsidRPr="00BB03EB">
        <w:rPr>
          <w:rFonts w:cs="Arial"/>
          <w:b/>
          <w:bCs/>
          <w:sz w:val="22"/>
          <w:szCs w:val="22"/>
        </w:rPr>
        <w:t>Pojištění pro případ odcizení</w:t>
      </w:r>
    </w:p>
    <w:p w14:paraId="1AC07AB2" w14:textId="77777777" w:rsidR="00DE6F02" w:rsidRPr="00BB03EB" w:rsidRDefault="00DE6F02" w:rsidP="00DE6F02">
      <w:pPr>
        <w:spacing w:after="160" w:line="259" w:lineRule="auto"/>
        <w:rPr>
          <w:rFonts w:cs="Arial"/>
          <w:b/>
          <w:bCs/>
          <w:szCs w:val="20"/>
        </w:rPr>
      </w:pPr>
    </w:p>
    <w:tbl>
      <w:tblPr>
        <w:tblW w:w="9980" w:type="dxa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1"/>
        <w:gridCol w:w="2268"/>
        <w:gridCol w:w="1701"/>
      </w:tblGrid>
      <w:tr w:rsidR="00BB03EB" w:rsidRPr="00BB03EB" w14:paraId="70DE7A2A" w14:textId="77777777" w:rsidTr="00BB03EB">
        <w:trPr>
          <w:trHeight w:val="794"/>
        </w:trPr>
        <w:tc>
          <w:tcPr>
            <w:tcW w:w="6011" w:type="dxa"/>
            <w:shd w:val="clear" w:color="auto" w:fill="808080" w:themeFill="background1" w:themeFillShade="80"/>
            <w:vAlign w:val="center"/>
          </w:tcPr>
          <w:p w14:paraId="652FB3C9" w14:textId="77777777" w:rsidR="00DE6F02" w:rsidRPr="00BB03EB" w:rsidRDefault="00DE6F02" w:rsidP="00DC7333">
            <w:pPr>
              <w:spacing w:line="320" w:lineRule="atLeast"/>
              <w:jc w:val="center"/>
              <w:rPr>
                <w:rFonts w:ascii="Verdana" w:hAnsi="Verdana" w:cs="Arial"/>
                <w:b/>
                <w:bCs/>
              </w:rPr>
            </w:pPr>
            <w:r w:rsidRPr="00BB03EB">
              <w:rPr>
                <w:rFonts w:ascii="Verdana" w:hAnsi="Verdana" w:cs="Arial"/>
                <w:b/>
                <w:bCs/>
              </w:rPr>
              <w:t>Předmět pojištění</w:t>
            </w:r>
          </w:p>
        </w:tc>
        <w:tc>
          <w:tcPr>
            <w:tcW w:w="2268" w:type="dxa"/>
            <w:shd w:val="clear" w:color="auto" w:fill="808080" w:themeFill="background1" w:themeFillShade="80"/>
            <w:vAlign w:val="center"/>
          </w:tcPr>
          <w:p w14:paraId="72111DE7" w14:textId="77777777" w:rsidR="00DE6F02" w:rsidRPr="00BB03EB" w:rsidRDefault="00DE6F02" w:rsidP="00DC7333">
            <w:pPr>
              <w:spacing w:line="320" w:lineRule="atLeast"/>
              <w:jc w:val="center"/>
              <w:rPr>
                <w:rFonts w:ascii="Verdana" w:hAnsi="Verdana" w:cs="Arial"/>
                <w:b/>
                <w:bCs/>
              </w:rPr>
            </w:pPr>
            <w:r w:rsidRPr="00BB03EB">
              <w:rPr>
                <w:rFonts w:ascii="Verdana" w:hAnsi="Verdana" w:cs="Arial"/>
                <w:b/>
                <w:bCs/>
              </w:rPr>
              <w:t>Pojistná částka</w:t>
            </w:r>
          </w:p>
          <w:p w14:paraId="15B518BD" w14:textId="77777777" w:rsidR="00DE6F02" w:rsidRPr="00BB03EB" w:rsidRDefault="00DE6F02" w:rsidP="00DC7333">
            <w:pPr>
              <w:spacing w:line="320" w:lineRule="atLeast"/>
              <w:jc w:val="center"/>
              <w:rPr>
                <w:rFonts w:ascii="Verdana" w:hAnsi="Verdana" w:cs="Arial"/>
                <w:b/>
                <w:bCs/>
              </w:rPr>
            </w:pPr>
            <w:r w:rsidRPr="00BB03EB">
              <w:rPr>
                <w:rFonts w:ascii="Verdana" w:hAnsi="Verdana" w:cs="Arial"/>
                <w:b/>
                <w:bCs/>
              </w:rPr>
              <w:t>(v Kč)</w:t>
            </w:r>
          </w:p>
        </w:tc>
        <w:tc>
          <w:tcPr>
            <w:tcW w:w="1701" w:type="dxa"/>
            <w:shd w:val="clear" w:color="auto" w:fill="808080" w:themeFill="background1" w:themeFillShade="80"/>
            <w:vAlign w:val="center"/>
          </w:tcPr>
          <w:p w14:paraId="5F82BAD6" w14:textId="77777777" w:rsidR="00DE6F02" w:rsidRPr="00BB03EB" w:rsidRDefault="00DE6F02" w:rsidP="00DC7333">
            <w:pPr>
              <w:spacing w:line="320" w:lineRule="atLeast"/>
              <w:jc w:val="center"/>
              <w:rPr>
                <w:rFonts w:ascii="Verdana" w:hAnsi="Verdana" w:cs="Arial"/>
                <w:b/>
                <w:bCs/>
              </w:rPr>
            </w:pPr>
            <w:r w:rsidRPr="00BB03EB">
              <w:rPr>
                <w:rFonts w:ascii="Verdana" w:hAnsi="Verdana" w:cs="Arial"/>
                <w:b/>
                <w:bCs/>
              </w:rPr>
              <w:t>Spoluúčast</w:t>
            </w:r>
          </w:p>
          <w:p w14:paraId="35469C14" w14:textId="77777777" w:rsidR="00DE6F02" w:rsidRPr="00BB03EB" w:rsidRDefault="00DE6F02" w:rsidP="00DC7333">
            <w:pPr>
              <w:spacing w:line="320" w:lineRule="atLeast"/>
              <w:jc w:val="center"/>
              <w:rPr>
                <w:rFonts w:ascii="Verdana" w:hAnsi="Verdana" w:cs="Arial"/>
                <w:b/>
                <w:bCs/>
              </w:rPr>
            </w:pPr>
            <w:r w:rsidRPr="00BB03EB">
              <w:rPr>
                <w:rFonts w:ascii="Verdana" w:hAnsi="Verdana" w:cs="Arial"/>
                <w:b/>
                <w:bCs/>
              </w:rPr>
              <w:t>(v Kč)</w:t>
            </w:r>
          </w:p>
        </w:tc>
      </w:tr>
      <w:tr w:rsidR="00BB03EB" w:rsidRPr="00BB03EB" w14:paraId="2ECC9A0A" w14:textId="77777777" w:rsidTr="00DC7333">
        <w:trPr>
          <w:trHeight w:val="397"/>
        </w:trPr>
        <w:tc>
          <w:tcPr>
            <w:tcW w:w="9980" w:type="dxa"/>
            <w:gridSpan w:val="3"/>
            <w:shd w:val="clear" w:color="auto" w:fill="D9D9D9"/>
            <w:vAlign w:val="center"/>
          </w:tcPr>
          <w:p w14:paraId="2201815D" w14:textId="723A38F7" w:rsidR="00D03A3E" w:rsidRPr="00BB03EB" w:rsidRDefault="0092176E" w:rsidP="0092176E">
            <w:pPr>
              <w:spacing w:before="20" w:after="20"/>
              <w:rPr>
                <w:rFonts w:cs="Arial"/>
                <w:szCs w:val="20"/>
              </w:rPr>
            </w:pPr>
            <w:r w:rsidRPr="00BB03EB">
              <w:rPr>
                <w:rFonts w:cs="Arial"/>
                <w:b/>
                <w:bCs/>
                <w:szCs w:val="20"/>
              </w:rPr>
              <w:t>Nebezpečí odcizení krádež vloupáním, loupež</w:t>
            </w:r>
          </w:p>
        </w:tc>
      </w:tr>
      <w:tr w:rsidR="00BB03EB" w:rsidRPr="00BB03EB" w14:paraId="76E84133" w14:textId="77777777" w:rsidTr="00DC7333">
        <w:trPr>
          <w:trHeight w:val="794"/>
        </w:trPr>
        <w:tc>
          <w:tcPr>
            <w:tcW w:w="6011" w:type="dxa"/>
            <w:vAlign w:val="center"/>
          </w:tcPr>
          <w:p w14:paraId="7A3E2F85" w14:textId="6BE8B656" w:rsidR="00D03A3E" w:rsidRPr="00BB03EB" w:rsidRDefault="003A6D24" w:rsidP="008B1C44">
            <w:pPr>
              <w:spacing w:line="320" w:lineRule="atLeast"/>
              <w:jc w:val="both"/>
              <w:rPr>
                <w:rFonts w:cs="Arial"/>
              </w:rPr>
            </w:pPr>
            <w:r w:rsidRPr="00BB03EB">
              <w:rPr>
                <w:rFonts w:cs="Arial"/>
              </w:rPr>
              <w:t xml:space="preserve">Veškerý majetek pojištěný na živelní nebezpečí, mimo konkrétně uvedené předměty níže </w:t>
            </w:r>
          </w:p>
        </w:tc>
        <w:tc>
          <w:tcPr>
            <w:tcW w:w="2268" w:type="dxa"/>
            <w:vAlign w:val="center"/>
          </w:tcPr>
          <w:p w14:paraId="34BDDDE4" w14:textId="424A8C81" w:rsidR="00D03A3E" w:rsidRPr="00BB03EB" w:rsidRDefault="003B1285" w:rsidP="00D03A3E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BB03EB">
              <w:rPr>
                <w:rFonts w:cs="Arial"/>
                <w:szCs w:val="20"/>
              </w:rPr>
              <w:t>2</w:t>
            </w:r>
            <w:r w:rsidR="00D03A3E" w:rsidRPr="00BB03EB">
              <w:rPr>
                <w:rFonts w:cs="Arial"/>
                <w:szCs w:val="20"/>
              </w:rPr>
              <w:t>.000.000</w:t>
            </w:r>
          </w:p>
          <w:p w14:paraId="3EB202DE" w14:textId="72F653CF" w:rsidR="00D03A3E" w:rsidRPr="00BB03EB" w:rsidRDefault="00D03A3E" w:rsidP="00D03A3E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  <w:szCs w:val="20"/>
              </w:rPr>
              <w:t>1. riziko</w:t>
            </w:r>
          </w:p>
        </w:tc>
        <w:tc>
          <w:tcPr>
            <w:tcW w:w="1701" w:type="dxa"/>
            <w:vAlign w:val="center"/>
          </w:tcPr>
          <w:p w14:paraId="4E24DABC" w14:textId="7453823C" w:rsidR="00D03A3E" w:rsidRPr="00BB03EB" w:rsidRDefault="00D03A3E" w:rsidP="00D03A3E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</w:rPr>
              <w:t>1.000</w:t>
            </w:r>
          </w:p>
        </w:tc>
      </w:tr>
      <w:tr w:rsidR="00BB03EB" w:rsidRPr="00BB03EB" w14:paraId="48F53FF7" w14:textId="77777777" w:rsidTr="0066145B">
        <w:trPr>
          <w:trHeight w:val="794"/>
        </w:trPr>
        <w:tc>
          <w:tcPr>
            <w:tcW w:w="6011" w:type="dxa"/>
            <w:vAlign w:val="center"/>
          </w:tcPr>
          <w:p w14:paraId="208ED1A9" w14:textId="77777777" w:rsidR="00415C8B" w:rsidRPr="00BB03EB" w:rsidRDefault="00415C8B" w:rsidP="008B1C44">
            <w:pPr>
              <w:spacing w:line="320" w:lineRule="atLeast"/>
              <w:jc w:val="both"/>
              <w:rPr>
                <w:rFonts w:cs="Arial"/>
                <w:highlight w:val="yellow"/>
              </w:rPr>
            </w:pPr>
            <w:r w:rsidRPr="00BB03EB">
              <w:rPr>
                <w:rFonts w:cs="Arial"/>
                <w:szCs w:val="20"/>
              </w:rPr>
              <w:t xml:space="preserve">Soubor vlastních a cizích věcí historické či umělecké hodnoty včetně soch, obrazů, </w:t>
            </w:r>
            <w:r w:rsidRPr="00BB03EB">
              <w:rPr>
                <w:rFonts w:cs="Arial"/>
              </w:rPr>
              <w:t>lustrů, nástěnných svítidel</w:t>
            </w:r>
            <w:r w:rsidRPr="00BB03EB">
              <w:rPr>
                <w:rFonts w:cs="Arial"/>
                <w:szCs w:val="20"/>
              </w:rPr>
              <w:t xml:space="preserve"> apod. </w:t>
            </w:r>
          </w:p>
        </w:tc>
        <w:tc>
          <w:tcPr>
            <w:tcW w:w="2268" w:type="dxa"/>
            <w:vAlign w:val="center"/>
          </w:tcPr>
          <w:p w14:paraId="5A5472A2" w14:textId="77777777" w:rsidR="00415C8B" w:rsidRPr="00BB03EB" w:rsidRDefault="00415C8B" w:rsidP="0066145B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BB03EB">
              <w:rPr>
                <w:rFonts w:cs="Arial"/>
                <w:szCs w:val="20"/>
              </w:rPr>
              <w:t>500.000</w:t>
            </w:r>
          </w:p>
          <w:p w14:paraId="220E14C4" w14:textId="74BE9E05" w:rsidR="0092176E" w:rsidRPr="00BB03EB" w:rsidRDefault="0092176E" w:rsidP="0066145B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BB03EB">
              <w:rPr>
                <w:rFonts w:cs="Arial"/>
                <w:szCs w:val="20"/>
              </w:rPr>
              <w:t>1. riziko</w:t>
            </w:r>
          </w:p>
        </w:tc>
        <w:tc>
          <w:tcPr>
            <w:tcW w:w="1701" w:type="dxa"/>
            <w:vAlign w:val="center"/>
          </w:tcPr>
          <w:p w14:paraId="113F6AEA" w14:textId="77777777" w:rsidR="00415C8B" w:rsidRPr="00BB03EB" w:rsidRDefault="00415C8B" w:rsidP="0066145B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</w:rPr>
              <w:t>1.000</w:t>
            </w:r>
          </w:p>
        </w:tc>
      </w:tr>
      <w:tr w:rsidR="00BB03EB" w:rsidRPr="00BB03EB" w14:paraId="1397DD7B" w14:textId="77777777" w:rsidTr="00DC7333">
        <w:trPr>
          <w:trHeight w:val="794"/>
        </w:trPr>
        <w:tc>
          <w:tcPr>
            <w:tcW w:w="6011" w:type="dxa"/>
            <w:vAlign w:val="center"/>
          </w:tcPr>
          <w:p w14:paraId="57B8F014" w14:textId="5E84990A" w:rsidR="00D03A3E" w:rsidRPr="00BB03EB" w:rsidRDefault="00D03A3E" w:rsidP="00D03A3E">
            <w:pPr>
              <w:spacing w:line="320" w:lineRule="atLeast"/>
              <w:rPr>
                <w:rFonts w:cs="Arial"/>
              </w:rPr>
            </w:pPr>
            <w:r w:rsidRPr="00BB03EB">
              <w:rPr>
                <w:rFonts w:cs="Arial"/>
              </w:rPr>
              <w:t>Peníze a cen</w:t>
            </w:r>
            <w:r w:rsidR="00FE1F11">
              <w:rPr>
                <w:rFonts w:cs="Arial"/>
              </w:rPr>
              <w:t>iny</w:t>
            </w:r>
          </w:p>
        </w:tc>
        <w:tc>
          <w:tcPr>
            <w:tcW w:w="2268" w:type="dxa"/>
            <w:vAlign w:val="center"/>
          </w:tcPr>
          <w:p w14:paraId="08B6A40C" w14:textId="77777777" w:rsidR="00D03A3E" w:rsidRPr="00BB03EB" w:rsidRDefault="00D03A3E" w:rsidP="00D03A3E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BB03EB">
              <w:rPr>
                <w:rFonts w:cs="Arial"/>
                <w:szCs w:val="20"/>
              </w:rPr>
              <w:t>100.000</w:t>
            </w:r>
          </w:p>
          <w:p w14:paraId="6CDF0DAC" w14:textId="61C01DB9" w:rsidR="00D03A3E" w:rsidRPr="00BB03EB" w:rsidRDefault="00D03A3E" w:rsidP="00D03A3E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BB03EB">
              <w:rPr>
                <w:rFonts w:cs="Arial"/>
                <w:szCs w:val="20"/>
              </w:rPr>
              <w:t>1. riziko</w:t>
            </w:r>
          </w:p>
        </w:tc>
        <w:tc>
          <w:tcPr>
            <w:tcW w:w="1701" w:type="dxa"/>
            <w:vAlign w:val="center"/>
          </w:tcPr>
          <w:p w14:paraId="441C7A97" w14:textId="22413958" w:rsidR="00D03A3E" w:rsidRPr="00BB03EB" w:rsidRDefault="00D03A3E" w:rsidP="00D03A3E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</w:rPr>
              <w:t>1.000</w:t>
            </w:r>
          </w:p>
        </w:tc>
      </w:tr>
      <w:tr w:rsidR="008F0557" w:rsidRPr="00BB03EB" w14:paraId="068F080B" w14:textId="77777777" w:rsidTr="00DC7333">
        <w:trPr>
          <w:trHeight w:val="794"/>
        </w:trPr>
        <w:tc>
          <w:tcPr>
            <w:tcW w:w="6011" w:type="dxa"/>
            <w:vAlign w:val="center"/>
          </w:tcPr>
          <w:p w14:paraId="29F838E7" w14:textId="17DFAB7C" w:rsidR="008F0557" w:rsidRPr="00BB03EB" w:rsidRDefault="008F0557" w:rsidP="00D03A3E">
            <w:pPr>
              <w:spacing w:line="320" w:lineRule="atLeast"/>
              <w:rPr>
                <w:rFonts w:cs="Arial"/>
              </w:rPr>
            </w:pPr>
            <w:r>
              <w:rPr>
                <w:rFonts w:cs="Arial"/>
              </w:rPr>
              <w:t xml:space="preserve">Prostá krádež </w:t>
            </w:r>
          </w:p>
        </w:tc>
        <w:tc>
          <w:tcPr>
            <w:tcW w:w="2268" w:type="dxa"/>
            <w:vAlign w:val="center"/>
          </w:tcPr>
          <w:p w14:paraId="317A47B2" w14:textId="77777777" w:rsidR="008F0557" w:rsidRDefault="008F0557" w:rsidP="00D03A3E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50.000</w:t>
            </w:r>
          </w:p>
          <w:p w14:paraId="32ABB1B6" w14:textId="6A1B2D0B" w:rsidR="008F0557" w:rsidRPr="00BB03EB" w:rsidRDefault="008F0557" w:rsidP="00D03A3E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 riziko</w:t>
            </w:r>
          </w:p>
        </w:tc>
        <w:tc>
          <w:tcPr>
            <w:tcW w:w="1701" w:type="dxa"/>
            <w:vAlign w:val="center"/>
          </w:tcPr>
          <w:p w14:paraId="7FCD6B01" w14:textId="379D8418" w:rsidR="008F0557" w:rsidRPr="00BB03EB" w:rsidRDefault="008F0557" w:rsidP="00D03A3E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>
              <w:rPr>
                <w:rFonts w:cs="Arial"/>
              </w:rPr>
              <w:t>1.000</w:t>
            </w:r>
          </w:p>
        </w:tc>
      </w:tr>
      <w:tr w:rsidR="00BB03EB" w:rsidRPr="00BB03EB" w14:paraId="57E04B53" w14:textId="77777777" w:rsidTr="00BC725D">
        <w:trPr>
          <w:trHeight w:val="794"/>
        </w:trPr>
        <w:tc>
          <w:tcPr>
            <w:tcW w:w="9980" w:type="dxa"/>
            <w:gridSpan w:val="3"/>
            <w:vAlign w:val="center"/>
          </w:tcPr>
          <w:p w14:paraId="2AA8C0BF" w14:textId="77777777" w:rsidR="00D03A3E" w:rsidRPr="00BB03EB" w:rsidRDefault="00D03A3E" w:rsidP="00D03A3E">
            <w:pPr>
              <w:spacing w:line="320" w:lineRule="atLeast"/>
              <w:ind w:right="170"/>
              <w:jc w:val="both"/>
              <w:rPr>
                <w:rFonts w:cs="Arial"/>
                <w:u w:val="single"/>
              </w:rPr>
            </w:pPr>
            <w:r w:rsidRPr="00BB03EB">
              <w:rPr>
                <w:rFonts w:cs="Arial"/>
                <w:u w:val="single"/>
              </w:rPr>
              <w:t>Zvláštní ujednání pro zabezpečení u místa pojištění na adrese Břežánská 50/4, 418 01 Bílina pro limit pojistného plnění ve výši 100.000 Kč (pro pokladnu v trezoru)</w:t>
            </w:r>
          </w:p>
          <w:p w14:paraId="26F72AFE" w14:textId="77777777" w:rsidR="00D03A3E" w:rsidRPr="00BB03EB" w:rsidRDefault="00D03A3E" w:rsidP="00D03A3E">
            <w:pPr>
              <w:spacing w:line="320" w:lineRule="atLeast"/>
              <w:ind w:right="170"/>
              <w:jc w:val="both"/>
              <w:rPr>
                <w:rFonts w:cs="Arial"/>
              </w:rPr>
            </w:pPr>
            <w:r w:rsidRPr="00BB03EB">
              <w:rPr>
                <w:rFonts w:cs="Arial"/>
              </w:rPr>
              <w:t>Budova je pod PCO napojeným na městskou Policii, která sídlí v této budově</w:t>
            </w:r>
          </w:p>
          <w:p w14:paraId="73391050" w14:textId="4A39F555" w:rsidR="00D03A3E" w:rsidRPr="00BB03EB" w:rsidRDefault="00634085" w:rsidP="00D03A3E">
            <w:pPr>
              <w:spacing w:line="320" w:lineRule="atLeast"/>
              <w:ind w:right="170"/>
              <w:jc w:val="both"/>
              <w:rPr>
                <w:rFonts w:cs="Arial"/>
              </w:rPr>
            </w:pPr>
            <w:r w:rsidRPr="00BB03EB">
              <w:rPr>
                <w:rFonts w:cs="Arial"/>
              </w:rPr>
              <w:t>Jako dostatečné zabezpečení a</w:t>
            </w:r>
            <w:r w:rsidR="00D03A3E" w:rsidRPr="00BB03EB">
              <w:rPr>
                <w:rFonts w:cs="Arial"/>
              </w:rPr>
              <w:t xml:space="preserve">kceptujeme </w:t>
            </w:r>
            <w:r w:rsidR="00947F73" w:rsidRPr="00BB03EB">
              <w:rPr>
                <w:rFonts w:cs="Arial"/>
              </w:rPr>
              <w:t xml:space="preserve">pouze </w:t>
            </w:r>
            <w:r w:rsidR="00D03A3E" w:rsidRPr="00BB03EB">
              <w:rPr>
                <w:rFonts w:cs="Arial"/>
              </w:rPr>
              <w:t>překonání dveří, které jsou zasazeny do zárubní, které nejsou zabezpečeny proti roztažení.</w:t>
            </w:r>
          </w:p>
          <w:p w14:paraId="6F33B62F" w14:textId="77777777" w:rsidR="00D03A3E" w:rsidRPr="00BB03EB" w:rsidRDefault="00D03A3E" w:rsidP="00D03A3E">
            <w:pPr>
              <w:spacing w:line="320" w:lineRule="atLeast"/>
              <w:ind w:right="170"/>
              <w:jc w:val="both"/>
              <w:rPr>
                <w:rFonts w:cs="Arial"/>
              </w:rPr>
            </w:pPr>
            <w:r w:rsidRPr="00BB03EB">
              <w:rPr>
                <w:rFonts w:cs="Arial"/>
              </w:rPr>
              <w:t>Pokladna na městském úřadě je takto zabezpečená: Trezor tř. 2 je pevně spojen s betonovou podlahou šrouby, ve skříňce uzamčené. Obsluha má pod stolem bezpečnostní tlačítko, alarmující, které je vyvedeno také na městskou Policii.</w:t>
            </w:r>
          </w:p>
          <w:p w14:paraId="2DE12349" w14:textId="77777777" w:rsidR="00D03A3E" w:rsidRPr="00BB03EB" w:rsidRDefault="00D03A3E" w:rsidP="00D03A3E">
            <w:pPr>
              <w:spacing w:line="320" w:lineRule="atLeast"/>
              <w:ind w:right="170"/>
              <w:jc w:val="both"/>
              <w:rPr>
                <w:rFonts w:cs="Arial"/>
                <w:u w:val="single"/>
              </w:rPr>
            </w:pPr>
            <w:r w:rsidRPr="00BB03EB">
              <w:rPr>
                <w:rFonts w:cs="Arial"/>
                <w:u w:val="single"/>
              </w:rPr>
              <w:t>Zvláštní ujednání pro zabezpečení u místa pojištění na adrese Břežánská 50/4, 418 01 Bílina pro limit pojistného plnění ve výši 30.000 Kč (pro příruční pokladny)</w:t>
            </w:r>
          </w:p>
          <w:p w14:paraId="311364E3" w14:textId="23754A69" w:rsidR="00D03A3E" w:rsidRPr="00BB03EB" w:rsidRDefault="00D03A3E" w:rsidP="00D03A3E">
            <w:pPr>
              <w:spacing w:line="320" w:lineRule="atLeast"/>
              <w:ind w:right="170"/>
              <w:jc w:val="both"/>
              <w:rPr>
                <w:rFonts w:cs="Arial"/>
              </w:rPr>
            </w:pPr>
            <w:r w:rsidRPr="00BB03EB">
              <w:rPr>
                <w:rFonts w:cs="Arial"/>
              </w:rPr>
              <w:t>Příruční poklad</w:t>
            </w:r>
            <w:r w:rsidR="008F3565" w:rsidRPr="00BB03EB">
              <w:rPr>
                <w:rFonts w:cs="Arial"/>
              </w:rPr>
              <w:t>n</w:t>
            </w:r>
            <w:r w:rsidRPr="00BB03EB">
              <w:rPr>
                <w:rFonts w:cs="Arial"/>
              </w:rPr>
              <w:t>y, v kancelářích jsou v uzamčeném šuplíku ve stole a dveře osazené bezpečnostním zámkem FAB. Také pod PCO vyvedenou na městskou Policii.</w:t>
            </w:r>
          </w:p>
          <w:p w14:paraId="09E601D0" w14:textId="32C46B3D" w:rsidR="0092176E" w:rsidRPr="00BB03EB" w:rsidRDefault="00D03A3E" w:rsidP="0092176E">
            <w:pPr>
              <w:spacing w:line="320" w:lineRule="atLeast"/>
              <w:ind w:right="170"/>
              <w:rPr>
                <w:rFonts w:cs="Arial"/>
              </w:rPr>
            </w:pPr>
            <w:r w:rsidRPr="00BB03EB">
              <w:rPr>
                <w:rFonts w:cs="Arial"/>
              </w:rPr>
              <w:t>Město je monitorováno kamerami.</w:t>
            </w:r>
          </w:p>
        </w:tc>
      </w:tr>
    </w:tbl>
    <w:p w14:paraId="2B48088A" w14:textId="77777777" w:rsidR="000361CC" w:rsidRPr="00BB03EB" w:rsidRDefault="000361CC" w:rsidP="000361CC">
      <w:pPr>
        <w:spacing w:line="320" w:lineRule="atLeast"/>
        <w:ind w:left="567"/>
        <w:jc w:val="both"/>
        <w:rPr>
          <w:rFonts w:cs="Arial"/>
          <w:b/>
          <w:bCs/>
          <w:sz w:val="22"/>
          <w:szCs w:val="22"/>
        </w:rPr>
      </w:pPr>
    </w:p>
    <w:p w14:paraId="31E14D30" w14:textId="77777777" w:rsidR="000361CC" w:rsidRPr="00BB03EB" w:rsidRDefault="000361CC" w:rsidP="000361CC">
      <w:pPr>
        <w:spacing w:line="320" w:lineRule="atLeast"/>
        <w:ind w:left="567"/>
        <w:jc w:val="both"/>
        <w:rPr>
          <w:rFonts w:cs="Arial"/>
          <w:b/>
          <w:bCs/>
          <w:sz w:val="22"/>
          <w:szCs w:val="22"/>
        </w:rPr>
      </w:pPr>
    </w:p>
    <w:p w14:paraId="7CFB6FAE" w14:textId="0A6DA462" w:rsidR="0071288E" w:rsidRPr="00BB03EB" w:rsidRDefault="0071288E" w:rsidP="0071288E">
      <w:pPr>
        <w:numPr>
          <w:ilvl w:val="0"/>
          <w:numId w:val="1"/>
        </w:numPr>
        <w:tabs>
          <w:tab w:val="clear" w:pos="720"/>
          <w:tab w:val="num" w:pos="567"/>
        </w:tabs>
        <w:spacing w:line="320" w:lineRule="atLeast"/>
        <w:ind w:left="567" w:hanging="567"/>
        <w:jc w:val="both"/>
        <w:rPr>
          <w:rFonts w:cs="Arial"/>
          <w:b/>
          <w:bCs/>
          <w:sz w:val="22"/>
          <w:szCs w:val="22"/>
        </w:rPr>
      </w:pPr>
      <w:r w:rsidRPr="00BB03EB">
        <w:rPr>
          <w:rFonts w:cs="Arial"/>
          <w:b/>
          <w:bCs/>
          <w:sz w:val="22"/>
          <w:szCs w:val="22"/>
        </w:rPr>
        <w:t xml:space="preserve">Pojištění </w:t>
      </w:r>
      <w:r w:rsidR="006255B4" w:rsidRPr="00BB03EB">
        <w:rPr>
          <w:rFonts w:cs="Arial"/>
          <w:b/>
          <w:bCs/>
          <w:sz w:val="22"/>
          <w:szCs w:val="22"/>
        </w:rPr>
        <w:t>vandalismu</w:t>
      </w:r>
    </w:p>
    <w:p w14:paraId="54F8704E" w14:textId="77777777" w:rsidR="0071288E" w:rsidRPr="00BB03EB" w:rsidRDefault="0071288E" w:rsidP="0071288E"/>
    <w:tbl>
      <w:tblPr>
        <w:tblW w:w="9980" w:type="dxa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1"/>
        <w:gridCol w:w="2268"/>
        <w:gridCol w:w="1701"/>
      </w:tblGrid>
      <w:tr w:rsidR="00BB03EB" w:rsidRPr="00BB03EB" w14:paraId="37767FE5" w14:textId="77777777" w:rsidTr="00BB03EB">
        <w:trPr>
          <w:trHeight w:val="794"/>
        </w:trPr>
        <w:tc>
          <w:tcPr>
            <w:tcW w:w="6011" w:type="dxa"/>
            <w:shd w:val="clear" w:color="auto" w:fill="808080" w:themeFill="background1" w:themeFillShade="80"/>
            <w:vAlign w:val="center"/>
          </w:tcPr>
          <w:p w14:paraId="59F9312F" w14:textId="77777777" w:rsidR="0071288E" w:rsidRPr="00BB03EB" w:rsidRDefault="0071288E" w:rsidP="00AA4704">
            <w:pPr>
              <w:spacing w:line="320" w:lineRule="atLeast"/>
              <w:jc w:val="center"/>
              <w:rPr>
                <w:rFonts w:ascii="Verdana" w:hAnsi="Verdana" w:cs="Arial"/>
                <w:b/>
                <w:bCs/>
              </w:rPr>
            </w:pPr>
            <w:r w:rsidRPr="00BB03EB">
              <w:rPr>
                <w:rFonts w:ascii="Verdana" w:hAnsi="Verdana" w:cs="Arial"/>
                <w:b/>
                <w:bCs/>
              </w:rPr>
              <w:t>Předmět pojištění</w:t>
            </w:r>
          </w:p>
        </w:tc>
        <w:tc>
          <w:tcPr>
            <w:tcW w:w="2268" w:type="dxa"/>
            <w:shd w:val="clear" w:color="auto" w:fill="808080" w:themeFill="background1" w:themeFillShade="80"/>
            <w:vAlign w:val="center"/>
          </w:tcPr>
          <w:p w14:paraId="47E0B18A" w14:textId="77777777" w:rsidR="0071288E" w:rsidRPr="00BB03EB" w:rsidRDefault="0071288E" w:rsidP="00AA4704">
            <w:pPr>
              <w:spacing w:line="320" w:lineRule="atLeast"/>
              <w:jc w:val="center"/>
              <w:rPr>
                <w:rFonts w:ascii="Verdana" w:hAnsi="Verdana" w:cs="Arial"/>
                <w:b/>
                <w:bCs/>
              </w:rPr>
            </w:pPr>
            <w:r w:rsidRPr="00BB03EB">
              <w:rPr>
                <w:rFonts w:ascii="Verdana" w:hAnsi="Verdana" w:cs="Arial"/>
                <w:b/>
                <w:bCs/>
              </w:rPr>
              <w:t>Pojistná částka</w:t>
            </w:r>
          </w:p>
          <w:p w14:paraId="1207D054" w14:textId="77777777" w:rsidR="0071288E" w:rsidRPr="00BB03EB" w:rsidRDefault="0071288E" w:rsidP="00AA4704">
            <w:pPr>
              <w:spacing w:line="320" w:lineRule="atLeast"/>
              <w:jc w:val="center"/>
              <w:rPr>
                <w:rFonts w:ascii="Verdana" w:hAnsi="Verdana" w:cs="Arial"/>
                <w:b/>
                <w:bCs/>
              </w:rPr>
            </w:pPr>
            <w:r w:rsidRPr="00BB03EB">
              <w:rPr>
                <w:rFonts w:ascii="Verdana" w:hAnsi="Verdana" w:cs="Arial"/>
                <w:b/>
                <w:bCs/>
              </w:rPr>
              <w:t>(v Kč)</w:t>
            </w:r>
          </w:p>
        </w:tc>
        <w:tc>
          <w:tcPr>
            <w:tcW w:w="1701" w:type="dxa"/>
            <w:shd w:val="clear" w:color="auto" w:fill="808080" w:themeFill="background1" w:themeFillShade="80"/>
            <w:vAlign w:val="center"/>
          </w:tcPr>
          <w:p w14:paraId="50CFEE25" w14:textId="77777777" w:rsidR="0071288E" w:rsidRPr="00BB03EB" w:rsidRDefault="0071288E" w:rsidP="00AA4704">
            <w:pPr>
              <w:spacing w:line="320" w:lineRule="atLeast"/>
              <w:jc w:val="center"/>
              <w:rPr>
                <w:rFonts w:ascii="Verdana" w:hAnsi="Verdana" w:cs="Arial"/>
                <w:b/>
                <w:bCs/>
              </w:rPr>
            </w:pPr>
            <w:r w:rsidRPr="00BB03EB">
              <w:rPr>
                <w:rFonts w:ascii="Verdana" w:hAnsi="Verdana" w:cs="Arial"/>
                <w:b/>
                <w:bCs/>
              </w:rPr>
              <w:t>Spoluúčast</w:t>
            </w:r>
          </w:p>
          <w:p w14:paraId="53EFF428" w14:textId="77777777" w:rsidR="0071288E" w:rsidRPr="00BB03EB" w:rsidRDefault="0071288E" w:rsidP="00AA4704">
            <w:pPr>
              <w:spacing w:line="320" w:lineRule="atLeast"/>
              <w:jc w:val="center"/>
              <w:rPr>
                <w:rFonts w:ascii="Verdana" w:hAnsi="Verdana" w:cs="Arial"/>
                <w:b/>
                <w:bCs/>
              </w:rPr>
            </w:pPr>
            <w:r w:rsidRPr="00BB03EB">
              <w:rPr>
                <w:rFonts w:ascii="Verdana" w:hAnsi="Verdana" w:cs="Arial"/>
                <w:b/>
                <w:bCs/>
              </w:rPr>
              <w:t>(v Kč)</w:t>
            </w:r>
          </w:p>
        </w:tc>
      </w:tr>
      <w:tr w:rsidR="00BB03EB" w:rsidRPr="00BB03EB" w14:paraId="0DF79AFD" w14:textId="77777777" w:rsidTr="00AA4704">
        <w:trPr>
          <w:trHeight w:val="397"/>
        </w:trPr>
        <w:tc>
          <w:tcPr>
            <w:tcW w:w="9980" w:type="dxa"/>
            <w:gridSpan w:val="3"/>
            <w:shd w:val="clear" w:color="auto" w:fill="D9D9D9"/>
            <w:vAlign w:val="center"/>
          </w:tcPr>
          <w:p w14:paraId="407CC753" w14:textId="0FFC0EE7" w:rsidR="0071288E" w:rsidRPr="00BB03EB" w:rsidRDefault="00E85AB4" w:rsidP="00E85AB4">
            <w:pPr>
              <w:pStyle w:val="Default"/>
              <w:rPr>
                <w:color w:val="auto"/>
                <w:szCs w:val="20"/>
              </w:rPr>
            </w:pPr>
            <w:r w:rsidRPr="00BB03EB">
              <w:rPr>
                <w:b/>
                <w:bCs/>
                <w:color w:val="auto"/>
                <w:sz w:val="20"/>
                <w:szCs w:val="20"/>
              </w:rPr>
              <w:t xml:space="preserve">Nebezpečí vandalismu včetně případů nezjištěného pachatele </w:t>
            </w:r>
          </w:p>
        </w:tc>
      </w:tr>
      <w:tr w:rsidR="00BB03EB" w:rsidRPr="00BB03EB" w14:paraId="6DDABE8E" w14:textId="77777777" w:rsidTr="00AA4704">
        <w:trPr>
          <w:trHeight w:val="794"/>
        </w:trPr>
        <w:tc>
          <w:tcPr>
            <w:tcW w:w="6011" w:type="dxa"/>
            <w:vAlign w:val="center"/>
          </w:tcPr>
          <w:p w14:paraId="6F019B99" w14:textId="006310FF" w:rsidR="006255B4" w:rsidRPr="00BB03EB" w:rsidRDefault="00E85AB4" w:rsidP="00E85AB4">
            <w:pPr>
              <w:pStyle w:val="Default"/>
              <w:rPr>
                <w:color w:val="auto"/>
                <w:szCs w:val="20"/>
              </w:rPr>
            </w:pPr>
            <w:r w:rsidRPr="00BB03EB">
              <w:rPr>
                <w:color w:val="auto"/>
                <w:sz w:val="20"/>
                <w:szCs w:val="20"/>
              </w:rPr>
              <w:t>Veškerý majetek pojištěný na živelní nebezpečí</w:t>
            </w:r>
          </w:p>
        </w:tc>
        <w:tc>
          <w:tcPr>
            <w:tcW w:w="2268" w:type="dxa"/>
            <w:vAlign w:val="center"/>
          </w:tcPr>
          <w:p w14:paraId="6842E4AD" w14:textId="77777777" w:rsidR="006255B4" w:rsidRPr="00BB03EB" w:rsidRDefault="006255B4" w:rsidP="006255B4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BB03EB">
              <w:rPr>
                <w:rFonts w:cs="Arial"/>
                <w:szCs w:val="20"/>
              </w:rPr>
              <w:t>1.000.000</w:t>
            </w:r>
          </w:p>
          <w:p w14:paraId="459CA4DB" w14:textId="694BB1B0" w:rsidR="006255B4" w:rsidRPr="00BB03EB" w:rsidRDefault="006255B4" w:rsidP="006255B4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  <w:szCs w:val="20"/>
              </w:rPr>
              <w:t>1. riziko</w:t>
            </w:r>
          </w:p>
        </w:tc>
        <w:tc>
          <w:tcPr>
            <w:tcW w:w="1701" w:type="dxa"/>
            <w:vAlign w:val="center"/>
          </w:tcPr>
          <w:p w14:paraId="256D5175" w14:textId="6B25ED7E" w:rsidR="006255B4" w:rsidRPr="00BB03EB" w:rsidRDefault="006255B4" w:rsidP="006255B4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</w:rPr>
              <w:t>1.000</w:t>
            </w:r>
          </w:p>
        </w:tc>
      </w:tr>
      <w:tr w:rsidR="00BB03EB" w:rsidRPr="00BB03EB" w14:paraId="62656535" w14:textId="77777777" w:rsidTr="00AA4704">
        <w:trPr>
          <w:trHeight w:val="794"/>
        </w:trPr>
        <w:tc>
          <w:tcPr>
            <w:tcW w:w="6011" w:type="dxa"/>
            <w:vAlign w:val="center"/>
          </w:tcPr>
          <w:p w14:paraId="7DBBA7D5" w14:textId="77944BB2" w:rsidR="006255B4" w:rsidRPr="00BB03EB" w:rsidRDefault="006255B4" w:rsidP="006255B4">
            <w:pPr>
              <w:spacing w:line="320" w:lineRule="atLeast"/>
              <w:rPr>
                <w:rFonts w:cs="Arial"/>
                <w:szCs w:val="20"/>
              </w:rPr>
            </w:pPr>
            <w:r w:rsidRPr="00BB03EB">
              <w:rPr>
                <w:rFonts w:cs="Arial"/>
              </w:rPr>
              <w:t xml:space="preserve">Škody způsobené sprejery </w:t>
            </w:r>
          </w:p>
        </w:tc>
        <w:tc>
          <w:tcPr>
            <w:tcW w:w="2268" w:type="dxa"/>
            <w:vAlign w:val="center"/>
          </w:tcPr>
          <w:p w14:paraId="2914EF4A" w14:textId="56B5DDF4" w:rsidR="006255B4" w:rsidRPr="00BB03EB" w:rsidRDefault="003D1110" w:rsidP="006255B4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BB03EB">
              <w:rPr>
                <w:rFonts w:cs="Arial"/>
                <w:szCs w:val="20"/>
              </w:rPr>
              <w:t>2</w:t>
            </w:r>
            <w:r w:rsidR="006255B4" w:rsidRPr="00BB03EB">
              <w:rPr>
                <w:rFonts w:cs="Arial"/>
                <w:szCs w:val="20"/>
              </w:rPr>
              <w:t>00.000</w:t>
            </w:r>
          </w:p>
          <w:p w14:paraId="2322A139" w14:textId="232CAEBE" w:rsidR="006255B4" w:rsidRPr="00BB03EB" w:rsidRDefault="006255B4" w:rsidP="006255B4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  <w:szCs w:val="20"/>
              </w:rPr>
              <w:t>1. riziko</w:t>
            </w:r>
          </w:p>
        </w:tc>
        <w:tc>
          <w:tcPr>
            <w:tcW w:w="1701" w:type="dxa"/>
            <w:vAlign w:val="center"/>
          </w:tcPr>
          <w:p w14:paraId="028FD184" w14:textId="04388618" w:rsidR="006255B4" w:rsidRPr="00BB03EB" w:rsidRDefault="006255B4" w:rsidP="006255B4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</w:rPr>
              <w:t>1.000</w:t>
            </w:r>
          </w:p>
        </w:tc>
      </w:tr>
    </w:tbl>
    <w:p w14:paraId="4F639E3B" w14:textId="77777777" w:rsidR="00E85AB4" w:rsidRPr="00BB03EB" w:rsidRDefault="00E85AB4" w:rsidP="000361CC">
      <w:pPr>
        <w:spacing w:line="320" w:lineRule="atLeast"/>
        <w:jc w:val="both"/>
        <w:rPr>
          <w:rFonts w:cs="Arial"/>
          <w:b/>
          <w:bCs/>
          <w:sz w:val="22"/>
          <w:szCs w:val="22"/>
        </w:rPr>
      </w:pPr>
    </w:p>
    <w:p w14:paraId="5D472EE5" w14:textId="77777777" w:rsidR="000361CC" w:rsidRPr="00BB03EB" w:rsidRDefault="000361CC" w:rsidP="000361CC">
      <w:pPr>
        <w:spacing w:line="320" w:lineRule="atLeast"/>
        <w:jc w:val="both"/>
        <w:rPr>
          <w:rFonts w:cs="Arial"/>
          <w:b/>
          <w:bCs/>
          <w:sz w:val="22"/>
          <w:szCs w:val="22"/>
        </w:rPr>
      </w:pPr>
    </w:p>
    <w:p w14:paraId="1A4BA079" w14:textId="77777777" w:rsidR="000361CC" w:rsidRPr="00BB03EB" w:rsidRDefault="000361CC" w:rsidP="000361CC">
      <w:pPr>
        <w:spacing w:line="320" w:lineRule="atLeast"/>
        <w:jc w:val="both"/>
        <w:rPr>
          <w:rFonts w:cs="Arial"/>
          <w:b/>
          <w:bCs/>
          <w:sz w:val="22"/>
          <w:szCs w:val="22"/>
        </w:rPr>
      </w:pPr>
    </w:p>
    <w:p w14:paraId="663E14AA" w14:textId="77777777" w:rsidR="000361CC" w:rsidRPr="00BB03EB" w:rsidRDefault="000361CC" w:rsidP="000361CC">
      <w:pPr>
        <w:spacing w:line="320" w:lineRule="atLeast"/>
        <w:jc w:val="both"/>
        <w:rPr>
          <w:rFonts w:cs="Arial"/>
          <w:b/>
          <w:bCs/>
          <w:sz w:val="22"/>
          <w:szCs w:val="22"/>
        </w:rPr>
      </w:pPr>
    </w:p>
    <w:p w14:paraId="40373E8A" w14:textId="738FA5BB" w:rsidR="0071288E" w:rsidRPr="00BB03EB" w:rsidRDefault="0071288E" w:rsidP="0071288E">
      <w:pPr>
        <w:numPr>
          <w:ilvl w:val="0"/>
          <w:numId w:val="1"/>
        </w:numPr>
        <w:tabs>
          <w:tab w:val="clear" w:pos="720"/>
          <w:tab w:val="num" w:pos="567"/>
        </w:tabs>
        <w:spacing w:line="320" w:lineRule="atLeast"/>
        <w:ind w:left="567" w:hanging="567"/>
        <w:jc w:val="both"/>
        <w:rPr>
          <w:rFonts w:cs="Arial"/>
          <w:b/>
          <w:bCs/>
          <w:sz w:val="22"/>
          <w:szCs w:val="22"/>
        </w:rPr>
      </w:pPr>
      <w:r w:rsidRPr="00BB03EB">
        <w:rPr>
          <w:rFonts w:cs="Arial"/>
          <w:b/>
          <w:bCs/>
          <w:sz w:val="22"/>
          <w:szCs w:val="22"/>
        </w:rPr>
        <w:t xml:space="preserve">Pojištění </w:t>
      </w:r>
      <w:r w:rsidR="006255B4" w:rsidRPr="00BB03EB">
        <w:rPr>
          <w:rFonts w:cs="Arial"/>
          <w:b/>
          <w:bCs/>
          <w:sz w:val="22"/>
          <w:szCs w:val="22"/>
        </w:rPr>
        <w:t>rozbití skla</w:t>
      </w:r>
    </w:p>
    <w:p w14:paraId="226708BB" w14:textId="77777777" w:rsidR="0071288E" w:rsidRPr="00BB03EB" w:rsidRDefault="0071288E" w:rsidP="0071288E">
      <w:pPr>
        <w:spacing w:line="320" w:lineRule="atLeast"/>
        <w:jc w:val="both"/>
        <w:rPr>
          <w:rFonts w:ascii="Verdana" w:hAnsi="Verdana" w:cs="Arial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X="-356" w:tblpY="66"/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5"/>
        <w:gridCol w:w="1818"/>
        <w:gridCol w:w="1818"/>
      </w:tblGrid>
      <w:tr w:rsidR="00BB03EB" w:rsidRPr="00BB03EB" w14:paraId="49EE2AC0" w14:textId="77777777" w:rsidTr="00BB03EB">
        <w:trPr>
          <w:trHeight w:val="794"/>
        </w:trPr>
        <w:tc>
          <w:tcPr>
            <w:tcW w:w="6145" w:type="dxa"/>
            <w:shd w:val="clear" w:color="auto" w:fill="808080" w:themeFill="background1" w:themeFillShade="80"/>
            <w:vAlign w:val="center"/>
          </w:tcPr>
          <w:p w14:paraId="65C6A42E" w14:textId="77777777" w:rsidR="0071288E" w:rsidRPr="00BB03EB" w:rsidRDefault="0071288E" w:rsidP="00AA4704">
            <w:pPr>
              <w:spacing w:line="320" w:lineRule="atLeast"/>
              <w:jc w:val="center"/>
              <w:rPr>
                <w:rFonts w:cs="Arial"/>
                <w:b/>
                <w:bCs/>
              </w:rPr>
            </w:pPr>
            <w:r w:rsidRPr="00BB03EB">
              <w:rPr>
                <w:rFonts w:cs="Arial"/>
                <w:b/>
                <w:bCs/>
              </w:rPr>
              <w:t>Předmět pojištění</w:t>
            </w:r>
          </w:p>
        </w:tc>
        <w:tc>
          <w:tcPr>
            <w:tcW w:w="1818" w:type="dxa"/>
            <w:shd w:val="clear" w:color="auto" w:fill="808080" w:themeFill="background1" w:themeFillShade="80"/>
            <w:vAlign w:val="center"/>
          </w:tcPr>
          <w:p w14:paraId="10956609" w14:textId="77777777" w:rsidR="0071288E" w:rsidRPr="00BB03EB" w:rsidRDefault="0071288E" w:rsidP="00AA4704">
            <w:pPr>
              <w:spacing w:line="320" w:lineRule="atLeast"/>
              <w:jc w:val="center"/>
              <w:rPr>
                <w:rFonts w:cs="Arial"/>
                <w:b/>
                <w:bCs/>
              </w:rPr>
            </w:pPr>
            <w:r w:rsidRPr="00BB03EB">
              <w:rPr>
                <w:rFonts w:cs="Arial"/>
                <w:b/>
                <w:bCs/>
              </w:rPr>
              <w:t>Limit plnění</w:t>
            </w:r>
          </w:p>
          <w:p w14:paraId="4E781B45" w14:textId="77777777" w:rsidR="0071288E" w:rsidRPr="00BB03EB" w:rsidRDefault="0071288E" w:rsidP="00AA4704">
            <w:pPr>
              <w:spacing w:line="320" w:lineRule="atLeast"/>
              <w:jc w:val="center"/>
              <w:rPr>
                <w:rFonts w:cs="Arial"/>
                <w:b/>
                <w:bCs/>
              </w:rPr>
            </w:pPr>
            <w:r w:rsidRPr="00BB03EB">
              <w:rPr>
                <w:rFonts w:cs="Arial"/>
                <w:b/>
                <w:bCs/>
              </w:rPr>
              <w:t>(v Kč)</w:t>
            </w:r>
          </w:p>
        </w:tc>
        <w:tc>
          <w:tcPr>
            <w:tcW w:w="1818" w:type="dxa"/>
            <w:shd w:val="clear" w:color="auto" w:fill="808080" w:themeFill="background1" w:themeFillShade="80"/>
            <w:vAlign w:val="center"/>
          </w:tcPr>
          <w:p w14:paraId="70BB0227" w14:textId="77777777" w:rsidR="0071288E" w:rsidRPr="00BB03EB" w:rsidRDefault="0071288E" w:rsidP="00AA4704">
            <w:pPr>
              <w:spacing w:line="320" w:lineRule="atLeast"/>
              <w:jc w:val="center"/>
              <w:rPr>
                <w:rFonts w:cs="Arial"/>
                <w:b/>
                <w:bCs/>
              </w:rPr>
            </w:pPr>
            <w:r w:rsidRPr="00BB03EB">
              <w:rPr>
                <w:rFonts w:cs="Arial"/>
                <w:b/>
                <w:bCs/>
              </w:rPr>
              <w:t>Spoluúčast</w:t>
            </w:r>
          </w:p>
          <w:p w14:paraId="514E7513" w14:textId="77777777" w:rsidR="0071288E" w:rsidRPr="00BB03EB" w:rsidRDefault="0071288E" w:rsidP="00AA4704">
            <w:pPr>
              <w:spacing w:line="320" w:lineRule="atLeast"/>
              <w:jc w:val="center"/>
              <w:rPr>
                <w:rFonts w:cs="Arial"/>
                <w:b/>
                <w:bCs/>
              </w:rPr>
            </w:pPr>
            <w:r w:rsidRPr="00BB03EB">
              <w:rPr>
                <w:rFonts w:cs="Arial"/>
                <w:b/>
                <w:bCs/>
              </w:rPr>
              <w:t>(v Kč)</w:t>
            </w:r>
          </w:p>
        </w:tc>
      </w:tr>
      <w:tr w:rsidR="00BB03EB" w:rsidRPr="00BB03EB" w14:paraId="5DCED02C" w14:textId="77777777" w:rsidTr="00AA4704">
        <w:trPr>
          <w:trHeight w:val="397"/>
        </w:trPr>
        <w:tc>
          <w:tcPr>
            <w:tcW w:w="9781" w:type="dxa"/>
            <w:gridSpan w:val="3"/>
            <w:shd w:val="clear" w:color="auto" w:fill="D9D9D9"/>
            <w:vAlign w:val="center"/>
          </w:tcPr>
          <w:p w14:paraId="50EAE137" w14:textId="22ED3C11" w:rsidR="0071288E" w:rsidRPr="00BB03EB" w:rsidRDefault="00E85AB4" w:rsidP="00007DF5">
            <w:pPr>
              <w:pStyle w:val="Default"/>
              <w:jc w:val="both"/>
              <w:rPr>
                <w:color w:val="auto"/>
                <w:szCs w:val="20"/>
              </w:rPr>
            </w:pPr>
            <w:r w:rsidRPr="00BB03EB">
              <w:rPr>
                <w:b/>
                <w:bCs/>
                <w:color w:val="auto"/>
                <w:sz w:val="20"/>
                <w:szCs w:val="20"/>
              </w:rPr>
              <w:t xml:space="preserve">Nebezpečí rozbití skla – „All risk“ </w:t>
            </w:r>
          </w:p>
        </w:tc>
      </w:tr>
      <w:tr w:rsidR="00BB03EB" w:rsidRPr="00BB03EB" w14:paraId="0A18FF39" w14:textId="77777777" w:rsidTr="00AA4704">
        <w:trPr>
          <w:trHeight w:val="737"/>
        </w:trPr>
        <w:tc>
          <w:tcPr>
            <w:tcW w:w="6145" w:type="dxa"/>
            <w:vAlign w:val="center"/>
          </w:tcPr>
          <w:p w14:paraId="621515FA" w14:textId="66F5376F" w:rsidR="006255B4" w:rsidRPr="00BB03EB" w:rsidRDefault="006255B4" w:rsidP="008B1C44">
            <w:pPr>
              <w:spacing w:line="320" w:lineRule="atLeast"/>
              <w:jc w:val="both"/>
              <w:rPr>
                <w:rFonts w:ascii="Verdana" w:hAnsi="Verdana" w:cs="Arial"/>
                <w:highlight w:val="yellow"/>
              </w:rPr>
            </w:pPr>
            <w:r w:rsidRPr="00BB03EB">
              <w:rPr>
                <w:rFonts w:cs="Arial"/>
              </w:rPr>
              <w:t xml:space="preserve">Sklo </w:t>
            </w:r>
            <w:r w:rsidR="003B1285" w:rsidRPr="00BB03EB">
              <w:rPr>
                <w:rFonts w:cs="Arial"/>
              </w:rPr>
              <w:t>–</w:t>
            </w:r>
            <w:r w:rsidRPr="00BB03EB">
              <w:rPr>
                <w:rFonts w:cs="Arial"/>
              </w:rPr>
              <w:t xml:space="preserve"> </w:t>
            </w:r>
            <w:r w:rsidR="003B1285" w:rsidRPr="00BB03EB">
              <w:rPr>
                <w:rFonts w:cs="Arial"/>
              </w:rPr>
              <w:t xml:space="preserve">především </w:t>
            </w:r>
            <w:r w:rsidRPr="00BB03EB">
              <w:rPr>
                <w:rFonts w:cs="Arial"/>
              </w:rPr>
              <w:t>pevně osazené sklo či soubor pevně osazených skel, včetně nalepených snímačů zabezpečovacích zařízení, elektronických zařízení a příslušenství skla a nalepených fólií, které jsou součástí skla.</w:t>
            </w:r>
            <w:r w:rsidRPr="00BB03EB">
              <w:rPr>
                <w:rStyle w:val="A11"/>
                <w:rFonts w:eastAsiaTheme="majorEastAsia"/>
                <w:color w:val="auto"/>
              </w:rPr>
              <w:t xml:space="preserve"> </w:t>
            </w:r>
            <w:r w:rsidRPr="00BB03EB">
              <w:rPr>
                <w:rFonts w:cs="Arial"/>
              </w:rPr>
              <w:t xml:space="preserve"> Dále také skleněné části movitých věcí jako zasklení nábytku, zrcadel, vitrín apod.</w:t>
            </w:r>
            <w:r w:rsidRPr="00BB03EB">
              <w:rPr>
                <w:rStyle w:val="A11"/>
                <w:rFonts w:eastAsiaTheme="majorEastAsia"/>
                <w:color w:val="auto"/>
              </w:rPr>
              <w:t xml:space="preserve">  </w:t>
            </w:r>
          </w:p>
        </w:tc>
        <w:tc>
          <w:tcPr>
            <w:tcW w:w="1818" w:type="dxa"/>
            <w:vAlign w:val="center"/>
          </w:tcPr>
          <w:p w14:paraId="487454D6" w14:textId="3063F286" w:rsidR="006255B4" w:rsidRPr="00BB03EB" w:rsidRDefault="003D1110" w:rsidP="006255B4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BB03EB">
              <w:rPr>
                <w:rFonts w:cs="Arial"/>
                <w:szCs w:val="20"/>
              </w:rPr>
              <w:t>20</w:t>
            </w:r>
            <w:r w:rsidR="006255B4" w:rsidRPr="00BB03EB">
              <w:rPr>
                <w:rFonts w:cs="Arial"/>
                <w:szCs w:val="20"/>
              </w:rPr>
              <w:t>0.000</w:t>
            </w:r>
          </w:p>
          <w:p w14:paraId="36160722" w14:textId="31E76DB6" w:rsidR="006255B4" w:rsidRPr="00BB03EB" w:rsidRDefault="006255B4" w:rsidP="006255B4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BB03EB">
              <w:rPr>
                <w:rFonts w:cs="Arial"/>
                <w:szCs w:val="20"/>
              </w:rPr>
              <w:t>1. riziko</w:t>
            </w:r>
          </w:p>
        </w:tc>
        <w:tc>
          <w:tcPr>
            <w:tcW w:w="1818" w:type="dxa"/>
            <w:noWrap/>
            <w:vAlign w:val="center"/>
          </w:tcPr>
          <w:p w14:paraId="061C6345" w14:textId="4636D298" w:rsidR="006255B4" w:rsidRPr="00BB03EB" w:rsidRDefault="006255B4" w:rsidP="006255B4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</w:rPr>
              <w:t>10 %, min. 500</w:t>
            </w:r>
          </w:p>
        </w:tc>
      </w:tr>
    </w:tbl>
    <w:p w14:paraId="3B80AF41" w14:textId="77777777" w:rsidR="002C04A4" w:rsidRPr="00BB03EB" w:rsidRDefault="002C04A4" w:rsidP="00751344">
      <w:pPr>
        <w:spacing w:after="160" w:line="259" w:lineRule="auto"/>
        <w:rPr>
          <w:b/>
          <w:bCs/>
          <w:i/>
          <w:iCs/>
        </w:rPr>
      </w:pPr>
    </w:p>
    <w:p w14:paraId="28988F0C" w14:textId="33EB8B44" w:rsidR="006255B4" w:rsidRPr="00BB03EB" w:rsidRDefault="006255B4" w:rsidP="006255B4">
      <w:pPr>
        <w:numPr>
          <w:ilvl w:val="0"/>
          <w:numId w:val="1"/>
        </w:numPr>
        <w:tabs>
          <w:tab w:val="clear" w:pos="720"/>
          <w:tab w:val="num" w:pos="567"/>
        </w:tabs>
        <w:spacing w:line="320" w:lineRule="atLeast"/>
        <w:ind w:left="567" w:hanging="567"/>
        <w:jc w:val="both"/>
        <w:rPr>
          <w:rFonts w:cs="Arial"/>
          <w:b/>
          <w:bCs/>
          <w:sz w:val="22"/>
          <w:szCs w:val="22"/>
        </w:rPr>
      </w:pPr>
      <w:r w:rsidRPr="00BB03EB">
        <w:rPr>
          <w:rFonts w:cs="Arial"/>
          <w:b/>
          <w:bCs/>
          <w:sz w:val="22"/>
          <w:szCs w:val="22"/>
        </w:rPr>
        <w:t>Pojištění přepravy</w:t>
      </w:r>
      <w:r w:rsidR="003B1285" w:rsidRPr="00BB03EB">
        <w:rPr>
          <w:rFonts w:cs="Arial"/>
          <w:b/>
          <w:bCs/>
          <w:sz w:val="22"/>
          <w:szCs w:val="22"/>
        </w:rPr>
        <w:t xml:space="preserve"> </w:t>
      </w:r>
    </w:p>
    <w:p w14:paraId="7FB4839E" w14:textId="77777777" w:rsidR="006255B4" w:rsidRPr="00BB03EB" w:rsidRDefault="006255B4" w:rsidP="006255B4">
      <w:pPr>
        <w:spacing w:line="320" w:lineRule="atLeast"/>
        <w:jc w:val="both"/>
        <w:rPr>
          <w:rFonts w:ascii="Verdana" w:hAnsi="Verdana" w:cs="Arial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X="-356" w:tblpY="66"/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5"/>
        <w:gridCol w:w="1818"/>
        <w:gridCol w:w="1818"/>
      </w:tblGrid>
      <w:tr w:rsidR="00BB03EB" w:rsidRPr="00BB03EB" w14:paraId="3257F07B" w14:textId="77777777" w:rsidTr="00BB03EB">
        <w:trPr>
          <w:trHeight w:val="794"/>
        </w:trPr>
        <w:tc>
          <w:tcPr>
            <w:tcW w:w="6145" w:type="dxa"/>
            <w:shd w:val="clear" w:color="auto" w:fill="808080" w:themeFill="background1" w:themeFillShade="80"/>
            <w:vAlign w:val="center"/>
          </w:tcPr>
          <w:p w14:paraId="4B2A3072" w14:textId="77777777" w:rsidR="006255B4" w:rsidRPr="00BB03EB" w:rsidRDefault="006255B4" w:rsidP="00B1170C">
            <w:pPr>
              <w:spacing w:line="320" w:lineRule="atLeast"/>
              <w:jc w:val="center"/>
              <w:rPr>
                <w:rFonts w:cs="Arial"/>
                <w:b/>
                <w:bCs/>
              </w:rPr>
            </w:pPr>
            <w:r w:rsidRPr="00BB03EB">
              <w:rPr>
                <w:rFonts w:cs="Arial"/>
                <w:b/>
                <w:bCs/>
              </w:rPr>
              <w:t>Předmět pojištění</w:t>
            </w:r>
          </w:p>
        </w:tc>
        <w:tc>
          <w:tcPr>
            <w:tcW w:w="1818" w:type="dxa"/>
            <w:shd w:val="clear" w:color="auto" w:fill="808080" w:themeFill="background1" w:themeFillShade="80"/>
            <w:vAlign w:val="center"/>
          </w:tcPr>
          <w:p w14:paraId="2C915C8F" w14:textId="77777777" w:rsidR="006255B4" w:rsidRPr="00BB03EB" w:rsidRDefault="006255B4" w:rsidP="00B1170C">
            <w:pPr>
              <w:spacing w:line="320" w:lineRule="atLeast"/>
              <w:jc w:val="center"/>
              <w:rPr>
                <w:rFonts w:cs="Arial"/>
                <w:b/>
                <w:bCs/>
              </w:rPr>
            </w:pPr>
            <w:r w:rsidRPr="00BB03EB">
              <w:rPr>
                <w:rFonts w:cs="Arial"/>
                <w:b/>
                <w:bCs/>
              </w:rPr>
              <w:t>Limit plnění</w:t>
            </w:r>
          </w:p>
          <w:p w14:paraId="5F9896F0" w14:textId="77777777" w:rsidR="006255B4" w:rsidRPr="00BB03EB" w:rsidRDefault="006255B4" w:rsidP="00B1170C">
            <w:pPr>
              <w:spacing w:line="320" w:lineRule="atLeast"/>
              <w:jc w:val="center"/>
              <w:rPr>
                <w:rFonts w:cs="Arial"/>
                <w:b/>
                <w:bCs/>
              </w:rPr>
            </w:pPr>
            <w:r w:rsidRPr="00BB03EB">
              <w:rPr>
                <w:rFonts w:cs="Arial"/>
                <w:b/>
                <w:bCs/>
              </w:rPr>
              <w:t>(v Kč)</w:t>
            </w:r>
          </w:p>
        </w:tc>
        <w:tc>
          <w:tcPr>
            <w:tcW w:w="1818" w:type="dxa"/>
            <w:shd w:val="clear" w:color="auto" w:fill="808080" w:themeFill="background1" w:themeFillShade="80"/>
            <w:vAlign w:val="center"/>
          </w:tcPr>
          <w:p w14:paraId="7BE36FD7" w14:textId="77777777" w:rsidR="006255B4" w:rsidRPr="00BB03EB" w:rsidRDefault="006255B4" w:rsidP="00B1170C">
            <w:pPr>
              <w:spacing w:line="320" w:lineRule="atLeast"/>
              <w:jc w:val="center"/>
              <w:rPr>
                <w:rFonts w:cs="Arial"/>
                <w:b/>
                <w:bCs/>
              </w:rPr>
            </w:pPr>
            <w:r w:rsidRPr="00BB03EB">
              <w:rPr>
                <w:rFonts w:cs="Arial"/>
                <w:b/>
                <w:bCs/>
              </w:rPr>
              <w:t>Spoluúčast</w:t>
            </w:r>
          </w:p>
          <w:p w14:paraId="5F469892" w14:textId="77777777" w:rsidR="006255B4" w:rsidRPr="00BB03EB" w:rsidRDefault="006255B4" w:rsidP="00B1170C">
            <w:pPr>
              <w:spacing w:line="320" w:lineRule="atLeast"/>
              <w:jc w:val="center"/>
              <w:rPr>
                <w:rFonts w:cs="Arial"/>
                <w:b/>
                <w:bCs/>
              </w:rPr>
            </w:pPr>
            <w:r w:rsidRPr="00BB03EB">
              <w:rPr>
                <w:rFonts w:cs="Arial"/>
                <w:b/>
                <w:bCs/>
              </w:rPr>
              <w:t>(v Kč)</w:t>
            </w:r>
          </w:p>
        </w:tc>
      </w:tr>
      <w:tr w:rsidR="00BB03EB" w:rsidRPr="00BB03EB" w14:paraId="26911831" w14:textId="77777777" w:rsidTr="00B1170C">
        <w:trPr>
          <w:trHeight w:val="397"/>
        </w:trPr>
        <w:tc>
          <w:tcPr>
            <w:tcW w:w="9781" w:type="dxa"/>
            <w:gridSpan w:val="3"/>
            <w:shd w:val="clear" w:color="auto" w:fill="D9D9D9"/>
            <w:vAlign w:val="center"/>
          </w:tcPr>
          <w:p w14:paraId="0F90CA3F" w14:textId="13313345" w:rsidR="00947F73" w:rsidRPr="00BB03EB" w:rsidRDefault="00947F73" w:rsidP="005E4E56">
            <w:pPr>
              <w:spacing w:line="320" w:lineRule="atLeast"/>
              <w:rPr>
                <w:rFonts w:cs="Arial"/>
                <w:b/>
                <w:bCs/>
              </w:rPr>
            </w:pPr>
            <w:r w:rsidRPr="00BB03EB">
              <w:rPr>
                <w:rFonts w:cs="Arial"/>
                <w:b/>
                <w:bCs/>
              </w:rPr>
              <w:t>Pojistné nebezpečí - „All risk“</w:t>
            </w:r>
            <w:r w:rsidR="0035155F" w:rsidRPr="00BB03EB">
              <w:rPr>
                <w:rFonts w:cs="Arial"/>
                <w:b/>
                <w:bCs/>
              </w:rPr>
              <w:t>, především:</w:t>
            </w:r>
          </w:p>
          <w:p w14:paraId="628F3BE0" w14:textId="10EE8E74" w:rsidR="005E4E56" w:rsidRPr="00BB03EB" w:rsidRDefault="005E4E56" w:rsidP="005E4E56">
            <w:pPr>
              <w:pStyle w:val="Odstavecseseznamem"/>
              <w:numPr>
                <w:ilvl w:val="0"/>
                <w:numId w:val="25"/>
              </w:numPr>
              <w:spacing w:line="320" w:lineRule="atLeast"/>
              <w:jc w:val="both"/>
              <w:rPr>
                <w:rFonts w:cs="Arial"/>
                <w:bCs/>
              </w:rPr>
            </w:pPr>
            <w:r w:rsidRPr="00BB03EB">
              <w:rPr>
                <w:rFonts w:cs="Arial"/>
                <w:bCs/>
              </w:rPr>
              <w:t>Poškození nebo zničení dopravní nehodou</w:t>
            </w:r>
          </w:p>
          <w:p w14:paraId="49AC8E8D" w14:textId="0997EF77" w:rsidR="005E4E56" w:rsidRPr="00BB03EB" w:rsidRDefault="005E4E56" w:rsidP="005E4E56">
            <w:pPr>
              <w:pStyle w:val="Odstavecseseznamem"/>
              <w:numPr>
                <w:ilvl w:val="0"/>
                <w:numId w:val="25"/>
              </w:numPr>
              <w:spacing w:line="320" w:lineRule="atLeast"/>
              <w:jc w:val="both"/>
              <w:rPr>
                <w:rFonts w:cs="Arial"/>
                <w:bCs/>
              </w:rPr>
            </w:pPr>
            <w:r w:rsidRPr="00BB03EB">
              <w:rPr>
                <w:rFonts w:cs="Arial"/>
                <w:bCs/>
              </w:rPr>
              <w:t>Poškození nebo zničení živelním pojistným nebezpečím</w:t>
            </w:r>
          </w:p>
          <w:p w14:paraId="212C47A1" w14:textId="0F3FCDD9" w:rsidR="005E4E56" w:rsidRPr="00BB03EB" w:rsidRDefault="005E4E56" w:rsidP="005E4E56">
            <w:pPr>
              <w:pStyle w:val="Odstavecseseznamem"/>
              <w:numPr>
                <w:ilvl w:val="0"/>
                <w:numId w:val="25"/>
              </w:numPr>
              <w:spacing w:line="320" w:lineRule="atLeast"/>
              <w:jc w:val="both"/>
              <w:rPr>
                <w:rFonts w:cs="Arial"/>
                <w:bCs/>
              </w:rPr>
            </w:pPr>
            <w:r w:rsidRPr="00BB03EB">
              <w:rPr>
                <w:rFonts w:cs="Arial"/>
                <w:bCs/>
              </w:rPr>
              <w:t xml:space="preserve">Odcizení </w:t>
            </w:r>
            <w:r w:rsidRPr="00BB03EB">
              <w:rPr>
                <w:bCs/>
                <w:szCs w:val="20"/>
              </w:rPr>
              <w:t xml:space="preserve">krádeží vloupáním do vozidla, loupežným přepadení nebo odcizení celého vozidla </w:t>
            </w:r>
          </w:p>
          <w:p w14:paraId="4B8A38CB" w14:textId="4CB73D79" w:rsidR="005E4E56" w:rsidRPr="00BB03EB" w:rsidRDefault="005E4E56" w:rsidP="005E4E56">
            <w:pPr>
              <w:pStyle w:val="Odstavecseseznamem"/>
              <w:numPr>
                <w:ilvl w:val="0"/>
                <w:numId w:val="25"/>
              </w:numPr>
              <w:spacing w:line="320" w:lineRule="atLeast"/>
              <w:jc w:val="both"/>
              <w:rPr>
                <w:rFonts w:cs="Arial"/>
                <w:bCs/>
              </w:rPr>
            </w:pPr>
            <w:r w:rsidRPr="00BB03EB">
              <w:rPr>
                <w:rFonts w:cs="Arial"/>
                <w:bCs/>
              </w:rPr>
              <w:t>Úmyslné poškození nebo zničení</w:t>
            </w:r>
          </w:p>
          <w:p w14:paraId="15510679" w14:textId="4930FF6B" w:rsidR="005E4E56" w:rsidRPr="00BB03EB" w:rsidRDefault="005E4E56" w:rsidP="005E4E56">
            <w:pPr>
              <w:pStyle w:val="Odstavecseseznamem"/>
              <w:numPr>
                <w:ilvl w:val="0"/>
                <w:numId w:val="25"/>
              </w:numPr>
              <w:spacing w:line="320" w:lineRule="atLeast"/>
              <w:jc w:val="both"/>
              <w:rPr>
                <w:rFonts w:cs="Arial"/>
                <w:bCs/>
              </w:rPr>
            </w:pPr>
            <w:r w:rsidRPr="00BB03EB">
              <w:rPr>
                <w:rFonts w:cs="Arial"/>
                <w:bCs/>
              </w:rPr>
              <w:t xml:space="preserve">Poškození předmětu pojištění při jeho </w:t>
            </w:r>
            <w:r w:rsidRPr="00BB03EB">
              <w:rPr>
                <w:bCs/>
                <w:szCs w:val="20"/>
              </w:rPr>
              <w:t xml:space="preserve">nakládce nebo vykládce s výjimkou škod vzniklých v důsledku spojení, smísení, znečištění nebo kontaminace </w:t>
            </w:r>
          </w:p>
          <w:p w14:paraId="598DBB94" w14:textId="77777777" w:rsidR="006255B4" w:rsidRPr="00BB03EB" w:rsidRDefault="006255B4" w:rsidP="00B1170C">
            <w:pPr>
              <w:spacing w:line="320" w:lineRule="atLeast"/>
              <w:rPr>
                <w:rFonts w:cs="Arial"/>
                <w:b/>
                <w:bCs/>
              </w:rPr>
            </w:pPr>
            <w:r w:rsidRPr="00BB03EB">
              <w:rPr>
                <w:rFonts w:cs="Arial"/>
                <w:b/>
                <w:bCs/>
              </w:rPr>
              <w:t>Místa pojištění</w:t>
            </w:r>
          </w:p>
          <w:p w14:paraId="2D621374" w14:textId="419EA729" w:rsidR="00700F8C" w:rsidRPr="00BB03EB" w:rsidRDefault="00AF2F9E" w:rsidP="00700F8C">
            <w:pPr>
              <w:pStyle w:val="Odstavecseseznamem"/>
              <w:numPr>
                <w:ilvl w:val="0"/>
                <w:numId w:val="25"/>
              </w:numPr>
              <w:spacing w:after="120" w:line="320" w:lineRule="atLeast"/>
              <w:ind w:left="714" w:hanging="357"/>
              <w:jc w:val="both"/>
              <w:rPr>
                <w:rFonts w:cs="Arial"/>
                <w:b/>
              </w:rPr>
            </w:pPr>
            <w:r w:rsidRPr="00BB03EB">
              <w:rPr>
                <w:rFonts w:cs="Arial"/>
                <w:szCs w:val="20"/>
              </w:rPr>
              <w:t>Česká republika</w:t>
            </w:r>
          </w:p>
        </w:tc>
      </w:tr>
      <w:tr w:rsidR="00BB03EB" w:rsidRPr="00BB03EB" w14:paraId="6F7E08D8" w14:textId="77777777" w:rsidTr="00B1170C">
        <w:trPr>
          <w:trHeight w:val="737"/>
        </w:trPr>
        <w:tc>
          <w:tcPr>
            <w:tcW w:w="6145" w:type="dxa"/>
            <w:vAlign w:val="center"/>
          </w:tcPr>
          <w:p w14:paraId="2759DB7B" w14:textId="49B3D218" w:rsidR="00700F8C" w:rsidRPr="00BB03EB" w:rsidRDefault="003D1110" w:rsidP="003D1110">
            <w:pPr>
              <w:spacing w:line="320" w:lineRule="atLeast"/>
              <w:rPr>
                <w:rFonts w:cs="Arial"/>
              </w:rPr>
            </w:pPr>
            <w:r w:rsidRPr="00BB03EB">
              <w:rPr>
                <w:rFonts w:cs="Arial"/>
              </w:rPr>
              <w:t xml:space="preserve">Pojištění přepravy movitých věcí a zásob </w:t>
            </w:r>
          </w:p>
        </w:tc>
        <w:tc>
          <w:tcPr>
            <w:tcW w:w="1818" w:type="dxa"/>
            <w:vAlign w:val="center"/>
          </w:tcPr>
          <w:p w14:paraId="48367658" w14:textId="26CEE81A" w:rsidR="003D1110" w:rsidRPr="00BB03EB" w:rsidRDefault="003D1110" w:rsidP="003D1110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BB03EB">
              <w:rPr>
                <w:rFonts w:cs="Arial"/>
                <w:szCs w:val="20"/>
              </w:rPr>
              <w:t>200.000</w:t>
            </w:r>
          </w:p>
          <w:p w14:paraId="384AE54E" w14:textId="6C66E615" w:rsidR="003D1110" w:rsidRPr="00BB03EB" w:rsidRDefault="003D1110" w:rsidP="003D1110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BB03EB">
              <w:rPr>
                <w:rFonts w:cs="Arial"/>
                <w:szCs w:val="20"/>
              </w:rPr>
              <w:t>1. riziko</w:t>
            </w:r>
          </w:p>
        </w:tc>
        <w:tc>
          <w:tcPr>
            <w:tcW w:w="1818" w:type="dxa"/>
            <w:noWrap/>
            <w:vAlign w:val="center"/>
          </w:tcPr>
          <w:p w14:paraId="2C4BB57B" w14:textId="01E1DDFF" w:rsidR="003D1110" w:rsidRPr="00BB03EB" w:rsidRDefault="003D1110" w:rsidP="003D1110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</w:rPr>
              <w:t>10 %, min. 500</w:t>
            </w:r>
          </w:p>
        </w:tc>
      </w:tr>
      <w:tr w:rsidR="00BB03EB" w:rsidRPr="00BB03EB" w14:paraId="426089A8" w14:textId="77777777" w:rsidTr="00B1170C">
        <w:trPr>
          <w:trHeight w:val="737"/>
        </w:trPr>
        <w:tc>
          <w:tcPr>
            <w:tcW w:w="6145" w:type="dxa"/>
            <w:vAlign w:val="center"/>
          </w:tcPr>
          <w:p w14:paraId="2E517E44" w14:textId="19F101B8" w:rsidR="006255B4" w:rsidRPr="00BB03EB" w:rsidRDefault="006255B4" w:rsidP="006255B4">
            <w:pPr>
              <w:spacing w:line="320" w:lineRule="atLeast"/>
              <w:rPr>
                <w:rFonts w:cs="Arial"/>
              </w:rPr>
            </w:pPr>
            <w:r w:rsidRPr="00BB03EB">
              <w:rPr>
                <w:rFonts w:cs="Arial"/>
              </w:rPr>
              <w:t>Pojištění přepravy peněz a cen</w:t>
            </w:r>
            <w:r w:rsidR="00FE1F11">
              <w:rPr>
                <w:rFonts w:cs="Arial"/>
              </w:rPr>
              <w:t>in</w:t>
            </w:r>
          </w:p>
        </w:tc>
        <w:tc>
          <w:tcPr>
            <w:tcW w:w="1818" w:type="dxa"/>
            <w:vAlign w:val="center"/>
          </w:tcPr>
          <w:p w14:paraId="56BCD41B" w14:textId="77777777" w:rsidR="006255B4" w:rsidRPr="00BB03EB" w:rsidRDefault="006255B4" w:rsidP="006255B4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BB03EB">
              <w:rPr>
                <w:rFonts w:cs="Arial"/>
                <w:szCs w:val="20"/>
              </w:rPr>
              <w:t>400.000</w:t>
            </w:r>
          </w:p>
          <w:p w14:paraId="0765BCEA" w14:textId="2521FF87" w:rsidR="006255B4" w:rsidRPr="00BB03EB" w:rsidRDefault="006255B4" w:rsidP="006255B4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BB03EB">
              <w:rPr>
                <w:rFonts w:cs="Arial"/>
                <w:szCs w:val="20"/>
              </w:rPr>
              <w:t>1. riziko</w:t>
            </w:r>
          </w:p>
        </w:tc>
        <w:tc>
          <w:tcPr>
            <w:tcW w:w="1818" w:type="dxa"/>
            <w:noWrap/>
            <w:vAlign w:val="center"/>
          </w:tcPr>
          <w:p w14:paraId="650D180D" w14:textId="2454B137" w:rsidR="006255B4" w:rsidRPr="00BB03EB" w:rsidRDefault="006255B4" w:rsidP="006255B4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</w:rPr>
              <w:t>10 %, min. 500</w:t>
            </w:r>
          </w:p>
        </w:tc>
      </w:tr>
    </w:tbl>
    <w:p w14:paraId="75BEC63E" w14:textId="77777777" w:rsidR="00947F73" w:rsidRPr="00BB03EB" w:rsidRDefault="00947F73" w:rsidP="00700F8C">
      <w:pPr>
        <w:spacing w:line="320" w:lineRule="atLeast"/>
        <w:ind w:left="567"/>
        <w:jc w:val="both"/>
        <w:rPr>
          <w:rFonts w:cs="Arial"/>
          <w:b/>
          <w:bCs/>
          <w:sz w:val="22"/>
          <w:szCs w:val="22"/>
        </w:rPr>
      </w:pPr>
    </w:p>
    <w:p w14:paraId="44B99A63" w14:textId="6B53E281" w:rsidR="00947F73" w:rsidRPr="00BB03EB" w:rsidRDefault="005E4E56" w:rsidP="0039383D">
      <w:pPr>
        <w:suppressAutoHyphens/>
        <w:spacing w:before="2"/>
        <w:rPr>
          <w:b/>
          <w:bCs/>
        </w:rPr>
      </w:pPr>
      <w:r w:rsidRPr="00BB03EB">
        <w:rPr>
          <w:b/>
          <w:bCs/>
        </w:rPr>
        <w:t xml:space="preserve">Smluvní ujednání </w:t>
      </w:r>
    </w:p>
    <w:p w14:paraId="154B8BE8" w14:textId="32C82ED6" w:rsidR="00700F8C" w:rsidRPr="00BB03EB" w:rsidRDefault="00947F73" w:rsidP="005E4E56">
      <w:pPr>
        <w:suppressAutoHyphens/>
        <w:spacing w:before="120" w:line="320" w:lineRule="atLeast"/>
        <w:jc w:val="both"/>
      </w:pPr>
      <w:r w:rsidRPr="00BB03EB">
        <w:t>Ujednává se, že vozidla, kterými je přeprava prováděna, nemusí být jmenovitě uvedena v pojistné smlouvě.</w:t>
      </w:r>
    </w:p>
    <w:p w14:paraId="729E2AAC" w14:textId="77777777" w:rsidR="00700F8C" w:rsidRPr="00BB03EB" w:rsidRDefault="00700F8C" w:rsidP="00700F8C">
      <w:pPr>
        <w:spacing w:line="320" w:lineRule="atLeast"/>
        <w:ind w:left="567"/>
        <w:jc w:val="both"/>
        <w:rPr>
          <w:rFonts w:cs="Arial"/>
          <w:b/>
          <w:bCs/>
          <w:sz w:val="22"/>
          <w:szCs w:val="22"/>
        </w:rPr>
      </w:pPr>
    </w:p>
    <w:p w14:paraId="30A71176" w14:textId="77777777" w:rsidR="000361CC" w:rsidRPr="00BB03EB" w:rsidRDefault="000361CC">
      <w:pPr>
        <w:spacing w:after="160" w:line="259" w:lineRule="auto"/>
        <w:rPr>
          <w:rFonts w:cs="Arial"/>
          <w:b/>
          <w:bCs/>
          <w:sz w:val="22"/>
          <w:szCs w:val="22"/>
        </w:rPr>
      </w:pPr>
      <w:r w:rsidRPr="00BB03EB">
        <w:rPr>
          <w:rFonts w:cs="Arial"/>
          <w:b/>
          <w:bCs/>
          <w:sz w:val="22"/>
          <w:szCs w:val="22"/>
        </w:rPr>
        <w:br w:type="page"/>
      </w:r>
    </w:p>
    <w:p w14:paraId="4D5712A9" w14:textId="76AB9CB0" w:rsidR="006255B4" w:rsidRPr="00BB03EB" w:rsidRDefault="006255B4" w:rsidP="006255B4">
      <w:pPr>
        <w:numPr>
          <w:ilvl w:val="0"/>
          <w:numId w:val="1"/>
        </w:numPr>
        <w:tabs>
          <w:tab w:val="clear" w:pos="720"/>
          <w:tab w:val="num" w:pos="567"/>
        </w:tabs>
        <w:spacing w:line="320" w:lineRule="atLeast"/>
        <w:ind w:left="567" w:hanging="567"/>
        <w:jc w:val="both"/>
        <w:rPr>
          <w:rFonts w:cs="Arial"/>
          <w:b/>
          <w:bCs/>
          <w:sz w:val="22"/>
          <w:szCs w:val="22"/>
        </w:rPr>
      </w:pPr>
      <w:r w:rsidRPr="00BB03EB">
        <w:rPr>
          <w:rFonts w:cs="Arial"/>
          <w:b/>
          <w:bCs/>
          <w:sz w:val="22"/>
          <w:szCs w:val="22"/>
        </w:rPr>
        <w:t>Pojištění elektroniky</w:t>
      </w:r>
      <w:r w:rsidRPr="00BB03EB">
        <w:rPr>
          <w:rFonts w:cs="Arial"/>
          <w:b/>
          <w:bCs/>
          <w:sz w:val="22"/>
          <w:szCs w:val="22"/>
        </w:rPr>
        <w:tab/>
      </w:r>
    </w:p>
    <w:p w14:paraId="2073B43D" w14:textId="77777777" w:rsidR="006255B4" w:rsidRPr="00BB03EB" w:rsidRDefault="006255B4" w:rsidP="006255B4">
      <w:pPr>
        <w:spacing w:line="320" w:lineRule="atLeast"/>
        <w:jc w:val="both"/>
        <w:rPr>
          <w:rFonts w:ascii="Verdana" w:hAnsi="Verdana" w:cs="Arial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X="-356" w:tblpY="66"/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5"/>
        <w:gridCol w:w="1818"/>
        <w:gridCol w:w="1818"/>
      </w:tblGrid>
      <w:tr w:rsidR="00BB03EB" w:rsidRPr="00BB03EB" w14:paraId="22EEA6EE" w14:textId="77777777" w:rsidTr="00BB03EB">
        <w:trPr>
          <w:trHeight w:val="794"/>
        </w:trPr>
        <w:tc>
          <w:tcPr>
            <w:tcW w:w="6145" w:type="dxa"/>
            <w:shd w:val="clear" w:color="auto" w:fill="808080" w:themeFill="background1" w:themeFillShade="80"/>
            <w:vAlign w:val="center"/>
          </w:tcPr>
          <w:p w14:paraId="11D64FA5" w14:textId="77777777" w:rsidR="006255B4" w:rsidRPr="00BB03EB" w:rsidRDefault="006255B4" w:rsidP="00B1170C">
            <w:pPr>
              <w:spacing w:line="320" w:lineRule="atLeast"/>
              <w:jc w:val="center"/>
              <w:rPr>
                <w:rFonts w:cs="Arial"/>
                <w:b/>
                <w:bCs/>
              </w:rPr>
            </w:pPr>
            <w:r w:rsidRPr="00BB03EB">
              <w:rPr>
                <w:rFonts w:cs="Arial"/>
                <w:b/>
                <w:bCs/>
              </w:rPr>
              <w:t>Předmět pojištění</w:t>
            </w:r>
          </w:p>
        </w:tc>
        <w:tc>
          <w:tcPr>
            <w:tcW w:w="1818" w:type="dxa"/>
            <w:shd w:val="clear" w:color="auto" w:fill="808080" w:themeFill="background1" w:themeFillShade="80"/>
            <w:vAlign w:val="center"/>
          </w:tcPr>
          <w:p w14:paraId="65BA2B5B" w14:textId="77777777" w:rsidR="006255B4" w:rsidRPr="00BB03EB" w:rsidRDefault="006255B4" w:rsidP="00B1170C">
            <w:pPr>
              <w:spacing w:line="320" w:lineRule="atLeast"/>
              <w:jc w:val="center"/>
              <w:rPr>
                <w:rFonts w:cs="Arial"/>
                <w:b/>
                <w:bCs/>
              </w:rPr>
            </w:pPr>
            <w:r w:rsidRPr="00BB03EB">
              <w:rPr>
                <w:rFonts w:cs="Arial"/>
                <w:b/>
                <w:bCs/>
              </w:rPr>
              <w:t>Limit plnění</w:t>
            </w:r>
          </w:p>
          <w:p w14:paraId="321E27AA" w14:textId="77777777" w:rsidR="006255B4" w:rsidRPr="00BB03EB" w:rsidRDefault="006255B4" w:rsidP="00B1170C">
            <w:pPr>
              <w:spacing w:line="320" w:lineRule="atLeast"/>
              <w:jc w:val="center"/>
              <w:rPr>
                <w:rFonts w:cs="Arial"/>
                <w:b/>
                <w:bCs/>
              </w:rPr>
            </w:pPr>
            <w:r w:rsidRPr="00BB03EB">
              <w:rPr>
                <w:rFonts w:cs="Arial"/>
                <w:b/>
                <w:bCs/>
              </w:rPr>
              <w:t>(v Kč)</w:t>
            </w:r>
          </w:p>
        </w:tc>
        <w:tc>
          <w:tcPr>
            <w:tcW w:w="1818" w:type="dxa"/>
            <w:shd w:val="clear" w:color="auto" w:fill="808080" w:themeFill="background1" w:themeFillShade="80"/>
            <w:vAlign w:val="center"/>
          </w:tcPr>
          <w:p w14:paraId="49E463EC" w14:textId="77777777" w:rsidR="006255B4" w:rsidRPr="00BB03EB" w:rsidRDefault="006255B4" w:rsidP="00B1170C">
            <w:pPr>
              <w:spacing w:line="320" w:lineRule="atLeast"/>
              <w:jc w:val="center"/>
              <w:rPr>
                <w:rFonts w:cs="Arial"/>
                <w:b/>
                <w:bCs/>
              </w:rPr>
            </w:pPr>
            <w:r w:rsidRPr="00BB03EB">
              <w:rPr>
                <w:rFonts w:cs="Arial"/>
                <w:b/>
                <w:bCs/>
              </w:rPr>
              <w:t>Spoluúčast</w:t>
            </w:r>
          </w:p>
          <w:p w14:paraId="59DA334B" w14:textId="77777777" w:rsidR="006255B4" w:rsidRPr="00BB03EB" w:rsidRDefault="006255B4" w:rsidP="00B1170C">
            <w:pPr>
              <w:spacing w:line="320" w:lineRule="atLeast"/>
              <w:jc w:val="center"/>
              <w:rPr>
                <w:rFonts w:cs="Arial"/>
                <w:b/>
                <w:bCs/>
              </w:rPr>
            </w:pPr>
            <w:r w:rsidRPr="00BB03EB">
              <w:rPr>
                <w:rFonts w:cs="Arial"/>
                <w:b/>
                <w:bCs/>
              </w:rPr>
              <w:t>(v Kč)</w:t>
            </w:r>
          </w:p>
        </w:tc>
      </w:tr>
      <w:tr w:rsidR="00BB03EB" w:rsidRPr="00BB03EB" w14:paraId="58734E55" w14:textId="77777777" w:rsidTr="00B1170C">
        <w:trPr>
          <w:trHeight w:val="397"/>
        </w:trPr>
        <w:tc>
          <w:tcPr>
            <w:tcW w:w="9781" w:type="dxa"/>
            <w:gridSpan w:val="3"/>
            <w:shd w:val="clear" w:color="auto" w:fill="D9D9D9"/>
            <w:vAlign w:val="center"/>
          </w:tcPr>
          <w:p w14:paraId="12A17E34" w14:textId="20FBD48A" w:rsidR="006255B4" w:rsidRPr="00BB03EB" w:rsidRDefault="00770C57" w:rsidP="00770C57">
            <w:pPr>
              <w:pStyle w:val="Default"/>
              <w:jc w:val="both"/>
              <w:rPr>
                <w:color w:val="auto"/>
                <w:szCs w:val="20"/>
              </w:rPr>
            </w:pPr>
            <w:r w:rsidRPr="00BB03EB">
              <w:rPr>
                <w:b/>
                <w:bCs/>
                <w:color w:val="auto"/>
                <w:sz w:val="20"/>
                <w:szCs w:val="20"/>
              </w:rPr>
              <w:t xml:space="preserve">Pojištění elektronických rizik – „All risk“ </w:t>
            </w:r>
          </w:p>
        </w:tc>
      </w:tr>
      <w:tr w:rsidR="00BB03EB" w:rsidRPr="00BB03EB" w14:paraId="730813C6" w14:textId="77777777" w:rsidTr="00B1170C">
        <w:trPr>
          <w:trHeight w:val="737"/>
        </w:trPr>
        <w:tc>
          <w:tcPr>
            <w:tcW w:w="6145" w:type="dxa"/>
            <w:vAlign w:val="center"/>
          </w:tcPr>
          <w:p w14:paraId="0C987AB5" w14:textId="77777777" w:rsidR="0058590D" w:rsidRDefault="00A96AED" w:rsidP="008B1C44">
            <w:pPr>
              <w:spacing w:line="320" w:lineRule="atLeast"/>
              <w:jc w:val="both"/>
              <w:rPr>
                <w:rFonts w:cs="Arial"/>
              </w:rPr>
            </w:pPr>
            <w:r w:rsidRPr="00BB03EB">
              <w:rPr>
                <w:rFonts w:cs="Arial"/>
              </w:rPr>
              <w:t>Elektronika a elektronická zařízení</w:t>
            </w:r>
            <w:r w:rsidR="00770C57" w:rsidRPr="00BB03EB">
              <w:rPr>
                <w:rFonts w:cs="Arial"/>
              </w:rPr>
              <w:t xml:space="preserve"> </w:t>
            </w:r>
            <w:r w:rsidR="003B1285" w:rsidRPr="00BB03EB">
              <w:rPr>
                <w:rFonts w:cs="Arial"/>
              </w:rPr>
              <w:t>–</w:t>
            </w:r>
            <w:r w:rsidR="00770C57" w:rsidRPr="00BB03EB">
              <w:rPr>
                <w:rFonts w:cs="Arial"/>
              </w:rPr>
              <w:t xml:space="preserve"> </w:t>
            </w:r>
            <w:r w:rsidR="003B1285" w:rsidRPr="00BB03EB">
              <w:rPr>
                <w:rFonts w:cs="Arial"/>
              </w:rPr>
              <w:t xml:space="preserve">především </w:t>
            </w:r>
            <w:r w:rsidRPr="00BB03EB">
              <w:rPr>
                <w:rFonts w:cs="Arial"/>
              </w:rPr>
              <w:t>vlastní a cizí kancelářsk</w:t>
            </w:r>
            <w:r w:rsidR="00770C57" w:rsidRPr="00BB03EB">
              <w:rPr>
                <w:rFonts w:cs="Arial"/>
              </w:rPr>
              <w:t>á</w:t>
            </w:r>
            <w:r w:rsidRPr="00BB03EB">
              <w:rPr>
                <w:rFonts w:cs="Arial"/>
              </w:rPr>
              <w:t>, komunikační a výpočetní technik</w:t>
            </w:r>
            <w:r w:rsidR="00770C57" w:rsidRPr="00BB03EB">
              <w:rPr>
                <w:rFonts w:cs="Arial"/>
              </w:rPr>
              <w:t>a</w:t>
            </w:r>
            <w:r w:rsidRPr="00BB03EB">
              <w:rPr>
                <w:rFonts w:cs="Arial"/>
              </w:rPr>
              <w:t xml:space="preserve">, </w:t>
            </w:r>
            <w:r w:rsidR="003D1110" w:rsidRPr="00BB03EB">
              <w:rPr>
                <w:rFonts w:cs="Arial"/>
              </w:rPr>
              <w:t xml:space="preserve">radary, semafory, el. závory, </w:t>
            </w:r>
            <w:r w:rsidRPr="00BB03EB">
              <w:rPr>
                <w:rFonts w:cs="Arial"/>
              </w:rPr>
              <w:t>kamerov</w:t>
            </w:r>
            <w:r w:rsidR="00770C57" w:rsidRPr="00BB03EB">
              <w:rPr>
                <w:rFonts w:cs="Arial"/>
              </w:rPr>
              <w:t>ý</w:t>
            </w:r>
            <w:r w:rsidRPr="00BB03EB">
              <w:rPr>
                <w:rFonts w:cs="Arial"/>
              </w:rPr>
              <w:t xml:space="preserve"> systém, mobilní a stacionární elektronických zařízení</w:t>
            </w:r>
            <w:r w:rsidR="00770C57" w:rsidRPr="00BB03EB">
              <w:rPr>
                <w:rFonts w:cs="Arial"/>
              </w:rPr>
              <w:t>, včetně software a licencí aj.</w:t>
            </w:r>
          </w:p>
          <w:p w14:paraId="630F5224" w14:textId="77777777" w:rsidR="001D7C33" w:rsidRDefault="001D7C33" w:rsidP="008B1C44">
            <w:pPr>
              <w:spacing w:line="320" w:lineRule="atLeast"/>
              <w:jc w:val="both"/>
              <w:rPr>
                <w:rFonts w:cs="Arial"/>
                <w:szCs w:val="20"/>
              </w:rPr>
            </w:pPr>
          </w:p>
          <w:p w14:paraId="7C8232E1" w14:textId="61DFD586" w:rsidR="00236B4A" w:rsidRPr="00BB03EB" w:rsidRDefault="001D7C33" w:rsidP="008B1C44">
            <w:pPr>
              <w:spacing w:line="320" w:lineRule="atLeast"/>
              <w:jc w:val="both"/>
              <w:rPr>
                <w:rFonts w:cs="Arial"/>
              </w:rPr>
            </w:pPr>
            <w:r>
              <w:rPr>
                <w:rFonts w:cs="Arial"/>
                <w:szCs w:val="20"/>
              </w:rPr>
              <w:t>Soubor FVE – (kompletní realizace vč. střídačů, měničů, konstrukcí atd.)</w:t>
            </w:r>
          </w:p>
        </w:tc>
        <w:tc>
          <w:tcPr>
            <w:tcW w:w="1818" w:type="dxa"/>
            <w:vAlign w:val="center"/>
          </w:tcPr>
          <w:p w14:paraId="4B2F0312" w14:textId="1B0C15E3" w:rsidR="00A96AED" w:rsidRPr="00BB03EB" w:rsidRDefault="00A96AED" w:rsidP="00A96AED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BB03EB">
              <w:rPr>
                <w:rFonts w:cs="Arial"/>
                <w:szCs w:val="20"/>
              </w:rPr>
              <w:t xml:space="preserve">PČ </w:t>
            </w:r>
            <w:r w:rsidR="00236B4A">
              <w:rPr>
                <w:rFonts w:cs="Arial"/>
                <w:szCs w:val="20"/>
              </w:rPr>
              <w:t>92.880.196</w:t>
            </w:r>
          </w:p>
          <w:p w14:paraId="36762B42" w14:textId="50145EE1" w:rsidR="00A96AED" w:rsidRPr="00BB03EB" w:rsidRDefault="00A96AED" w:rsidP="00A96AED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BB03EB">
              <w:rPr>
                <w:rFonts w:cs="Arial"/>
                <w:szCs w:val="20"/>
              </w:rPr>
              <w:t>limit 5.000.000</w:t>
            </w:r>
          </w:p>
          <w:p w14:paraId="29E6D9DA" w14:textId="77777777" w:rsidR="0058590D" w:rsidRPr="00BB03EB" w:rsidRDefault="0058590D" w:rsidP="006255B4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</w:p>
        </w:tc>
        <w:tc>
          <w:tcPr>
            <w:tcW w:w="1818" w:type="dxa"/>
            <w:noWrap/>
            <w:vAlign w:val="center"/>
          </w:tcPr>
          <w:p w14:paraId="18403A44" w14:textId="5E956E5A" w:rsidR="0058590D" w:rsidRPr="00BB03EB" w:rsidRDefault="00A96AED" w:rsidP="006255B4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</w:rPr>
              <w:t>1.000</w:t>
            </w:r>
          </w:p>
        </w:tc>
      </w:tr>
      <w:tr w:rsidR="00DE4E16" w:rsidRPr="00BB03EB" w14:paraId="56237323" w14:textId="77777777" w:rsidTr="0066665A">
        <w:trPr>
          <w:trHeight w:val="737"/>
        </w:trPr>
        <w:tc>
          <w:tcPr>
            <w:tcW w:w="9781" w:type="dxa"/>
            <w:gridSpan w:val="3"/>
            <w:vAlign w:val="center"/>
          </w:tcPr>
          <w:p w14:paraId="5DC47E05" w14:textId="7EE23EC2" w:rsidR="00DE4E16" w:rsidRPr="00BB03EB" w:rsidRDefault="00DE4E16" w:rsidP="00DE4E16">
            <w:pPr>
              <w:spacing w:line="320" w:lineRule="atLeast"/>
              <w:ind w:right="170"/>
              <w:rPr>
                <w:rFonts w:cs="Arial"/>
              </w:rPr>
            </w:pPr>
            <w:r w:rsidRPr="00BB03EB">
              <w:rPr>
                <w:rFonts w:cs="Arial"/>
                <w:b/>
                <w:bCs/>
              </w:rPr>
              <w:t>Ujednává se, že pojištěna je elektronika do stáří 7 let v době pojistné události.</w:t>
            </w:r>
          </w:p>
        </w:tc>
      </w:tr>
    </w:tbl>
    <w:p w14:paraId="4D04F0C1" w14:textId="77777777" w:rsidR="000A6CB3" w:rsidRPr="00BB03EB" w:rsidRDefault="000A6CB3" w:rsidP="00D411B9">
      <w:pPr>
        <w:spacing w:after="160" w:line="259" w:lineRule="auto"/>
        <w:rPr>
          <w:b/>
          <w:bCs/>
          <w:i/>
          <w:iCs/>
        </w:rPr>
      </w:pPr>
    </w:p>
    <w:p w14:paraId="355CC71E" w14:textId="77777777" w:rsidR="000361CC" w:rsidRPr="00BB03EB" w:rsidRDefault="000361CC" w:rsidP="00D411B9">
      <w:pPr>
        <w:spacing w:after="160" w:line="259" w:lineRule="auto"/>
        <w:rPr>
          <w:b/>
          <w:bCs/>
          <w:i/>
          <w:iCs/>
        </w:rPr>
      </w:pPr>
    </w:p>
    <w:p w14:paraId="6EA87AC2" w14:textId="77777777" w:rsidR="000A6CB3" w:rsidRPr="00BB03EB" w:rsidRDefault="000A6CB3" w:rsidP="000A6CB3">
      <w:pPr>
        <w:numPr>
          <w:ilvl w:val="0"/>
          <w:numId w:val="1"/>
        </w:numPr>
        <w:tabs>
          <w:tab w:val="clear" w:pos="720"/>
          <w:tab w:val="num" w:pos="567"/>
        </w:tabs>
        <w:spacing w:line="320" w:lineRule="atLeast"/>
        <w:ind w:left="567" w:hanging="567"/>
        <w:jc w:val="both"/>
        <w:rPr>
          <w:rFonts w:cs="Arial"/>
          <w:b/>
          <w:bCs/>
          <w:sz w:val="22"/>
          <w:szCs w:val="22"/>
        </w:rPr>
      </w:pPr>
      <w:r w:rsidRPr="00BB03EB">
        <w:rPr>
          <w:rFonts w:cs="Arial"/>
          <w:b/>
          <w:bCs/>
          <w:sz w:val="22"/>
          <w:szCs w:val="22"/>
        </w:rPr>
        <w:t xml:space="preserve">Strojní pojištění </w:t>
      </w:r>
    </w:p>
    <w:p w14:paraId="507A55FE" w14:textId="77777777" w:rsidR="000A6CB3" w:rsidRPr="00BB03EB" w:rsidRDefault="000A6CB3" w:rsidP="000A6CB3">
      <w:pPr>
        <w:spacing w:line="320" w:lineRule="atLeast"/>
        <w:ind w:left="567"/>
        <w:jc w:val="both"/>
        <w:rPr>
          <w:rFonts w:ascii="Verdana" w:hAnsi="Verdana" w:cs="Arial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X="-356" w:tblpY="66"/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5"/>
        <w:gridCol w:w="1818"/>
        <w:gridCol w:w="1818"/>
      </w:tblGrid>
      <w:tr w:rsidR="00BB03EB" w:rsidRPr="00BB03EB" w14:paraId="1F9336C5" w14:textId="77777777" w:rsidTr="00BB03EB">
        <w:trPr>
          <w:trHeight w:val="794"/>
        </w:trPr>
        <w:tc>
          <w:tcPr>
            <w:tcW w:w="6145" w:type="dxa"/>
            <w:shd w:val="clear" w:color="auto" w:fill="808080" w:themeFill="background1" w:themeFillShade="80"/>
            <w:vAlign w:val="center"/>
          </w:tcPr>
          <w:p w14:paraId="0041D24F" w14:textId="77777777" w:rsidR="000A6CB3" w:rsidRPr="00BB03EB" w:rsidRDefault="000A6CB3" w:rsidP="00FF2840">
            <w:pPr>
              <w:spacing w:line="320" w:lineRule="atLeast"/>
              <w:jc w:val="center"/>
              <w:rPr>
                <w:rFonts w:cs="Arial"/>
                <w:b/>
                <w:bCs/>
              </w:rPr>
            </w:pPr>
            <w:r w:rsidRPr="00BB03EB">
              <w:rPr>
                <w:rFonts w:cs="Arial"/>
                <w:b/>
                <w:bCs/>
              </w:rPr>
              <w:t>Předmět pojištění</w:t>
            </w:r>
          </w:p>
        </w:tc>
        <w:tc>
          <w:tcPr>
            <w:tcW w:w="1818" w:type="dxa"/>
            <w:shd w:val="clear" w:color="auto" w:fill="808080" w:themeFill="background1" w:themeFillShade="80"/>
            <w:vAlign w:val="center"/>
          </w:tcPr>
          <w:p w14:paraId="782DDCCA" w14:textId="77777777" w:rsidR="000A6CB3" w:rsidRPr="00BB03EB" w:rsidRDefault="000A6CB3" w:rsidP="00FF2840">
            <w:pPr>
              <w:spacing w:line="320" w:lineRule="atLeast"/>
              <w:jc w:val="center"/>
              <w:rPr>
                <w:rFonts w:cs="Arial"/>
                <w:b/>
                <w:bCs/>
              </w:rPr>
            </w:pPr>
            <w:r w:rsidRPr="00BB03EB">
              <w:rPr>
                <w:rFonts w:cs="Arial"/>
                <w:b/>
                <w:bCs/>
              </w:rPr>
              <w:t>Limit plnění</w:t>
            </w:r>
          </w:p>
          <w:p w14:paraId="127C2527" w14:textId="77777777" w:rsidR="000A6CB3" w:rsidRPr="00BB03EB" w:rsidRDefault="000A6CB3" w:rsidP="00FF2840">
            <w:pPr>
              <w:spacing w:line="320" w:lineRule="atLeast"/>
              <w:jc w:val="center"/>
              <w:rPr>
                <w:rFonts w:cs="Arial"/>
                <w:b/>
                <w:bCs/>
              </w:rPr>
            </w:pPr>
            <w:r w:rsidRPr="00BB03EB">
              <w:rPr>
                <w:rFonts w:cs="Arial"/>
                <w:b/>
                <w:bCs/>
              </w:rPr>
              <w:t>(v Kč)</w:t>
            </w:r>
          </w:p>
        </w:tc>
        <w:tc>
          <w:tcPr>
            <w:tcW w:w="1818" w:type="dxa"/>
            <w:shd w:val="clear" w:color="auto" w:fill="808080" w:themeFill="background1" w:themeFillShade="80"/>
            <w:vAlign w:val="center"/>
          </w:tcPr>
          <w:p w14:paraId="3FA9FD18" w14:textId="77777777" w:rsidR="000A6CB3" w:rsidRPr="00BB03EB" w:rsidRDefault="000A6CB3" w:rsidP="00FF2840">
            <w:pPr>
              <w:spacing w:line="320" w:lineRule="atLeast"/>
              <w:jc w:val="center"/>
              <w:rPr>
                <w:rFonts w:cs="Arial"/>
                <w:b/>
                <w:bCs/>
              </w:rPr>
            </w:pPr>
            <w:r w:rsidRPr="00BB03EB">
              <w:rPr>
                <w:rFonts w:cs="Arial"/>
                <w:b/>
                <w:bCs/>
              </w:rPr>
              <w:t>Spoluúčast</w:t>
            </w:r>
          </w:p>
          <w:p w14:paraId="775F56D6" w14:textId="77777777" w:rsidR="000A6CB3" w:rsidRPr="00BB03EB" w:rsidRDefault="000A6CB3" w:rsidP="00FF2840">
            <w:pPr>
              <w:spacing w:line="320" w:lineRule="atLeast"/>
              <w:jc w:val="center"/>
              <w:rPr>
                <w:rFonts w:cs="Arial"/>
                <w:b/>
                <w:bCs/>
              </w:rPr>
            </w:pPr>
            <w:r w:rsidRPr="00BB03EB">
              <w:rPr>
                <w:rFonts w:cs="Arial"/>
                <w:b/>
                <w:bCs/>
              </w:rPr>
              <w:t>(v Kč)</w:t>
            </w:r>
          </w:p>
        </w:tc>
      </w:tr>
      <w:tr w:rsidR="00BB03EB" w:rsidRPr="00BB03EB" w14:paraId="6CE48AA1" w14:textId="77777777" w:rsidTr="00FF2840">
        <w:trPr>
          <w:trHeight w:val="397"/>
        </w:trPr>
        <w:tc>
          <w:tcPr>
            <w:tcW w:w="9781" w:type="dxa"/>
            <w:gridSpan w:val="3"/>
            <w:shd w:val="clear" w:color="auto" w:fill="D9D9D9"/>
            <w:vAlign w:val="center"/>
          </w:tcPr>
          <w:p w14:paraId="243A553B" w14:textId="307E5D29" w:rsidR="000A6CB3" w:rsidRPr="00BB03EB" w:rsidRDefault="00770C57" w:rsidP="00770C57">
            <w:pPr>
              <w:pStyle w:val="Default"/>
              <w:jc w:val="both"/>
              <w:rPr>
                <w:color w:val="auto"/>
                <w:szCs w:val="20"/>
              </w:rPr>
            </w:pPr>
            <w:r w:rsidRPr="00BB03EB">
              <w:rPr>
                <w:b/>
                <w:bCs/>
                <w:color w:val="auto"/>
                <w:sz w:val="20"/>
                <w:szCs w:val="20"/>
              </w:rPr>
              <w:t xml:space="preserve">Pojištění strojních rizik – „All risk“ </w:t>
            </w:r>
          </w:p>
        </w:tc>
      </w:tr>
      <w:tr w:rsidR="00BB03EB" w:rsidRPr="00BB03EB" w14:paraId="61381F5A" w14:textId="77777777" w:rsidTr="00FF2840">
        <w:trPr>
          <w:trHeight w:val="737"/>
        </w:trPr>
        <w:tc>
          <w:tcPr>
            <w:tcW w:w="6145" w:type="dxa"/>
            <w:vAlign w:val="center"/>
          </w:tcPr>
          <w:p w14:paraId="16A7264C" w14:textId="5C5231F5" w:rsidR="000A6CB3" w:rsidRPr="00BB03EB" w:rsidRDefault="000A6CB3" w:rsidP="00FF2840">
            <w:pPr>
              <w:suppressAutoHyphens/>
              <w:spacing w:before="2" w:line="320" w:lineRule="atLeast"/>
              <w:jc w:val="both"/>
              <w:rPr>
                <w:rFonts w:cs="Arial"/>
              </w:rPr>
            </w:pPr>
            <w:r w:rsidRPr="00BB03EB">
              <w:rPr>
                <w:rFonts w:cs="Arial"/>
              </w:rPr>
              <w:t>Stroje a zařízení -</w:t>
            </w:r>
            <w:r w:rsidR="003B1285" w:rsidRPr="00BB03EB">
              <w:rPr>
                <w:rFonts w:cs="Arial"/>
              </w:rPr>
              <w:t xml:space="preserve"> především</w:t>
            </w:r>
            <w:r w:rsidRPr="00BB03EB">
              <w:rPr>
                <w:rFonts w:cs="Arial"/>
              </w:rPr>
              <w:t xml:space="preserve"> klimatizace, vzduchotechnika a větrací zařízení, tepelná čerpadla, osobní výtahy, eskalátory, osvětlovací zařízení, kancelářské stroje (ne elektronika!), kotle UT a TUV včetně oběhových čerpadel a odpadních systémů (topení a teplé vody), tepelná čerpadla, elektromotory, čerpadla, kompresory - dle účetní evidence pojistníka (stroje jsou pojištěny bez seznamu).</w:t>
            </w:r>
          </w:p>
        </w:tc>
        <w:tc>
          <w:tcPr>
            <w:tcW w:w="1818" w:type="dxa"/>
            <w:vAlign w:val="center"/>
          </w:tcPr>
          <w:p w14:paraId="5F07367E" w14:textId="77777777" w:rsidR="00A96AED" w:rsidRPr="00BB03EB" w:rsidRDefault="00A96AED" w:rsidP="00FF2840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BB03EB">
              <w:rPr>
                <w:rFonts w:cs="Arial"/>
                <w:szCs w:val="20"/>
              </w:rPr>
              <w:t>PČ 4.327.646</w:t>
            </w:r>
          </w:p>
          <w:p w14:paraId="2574E2FD" w14:textId="40EBD510" w:rsidR="000A6CB3" w:rsidRPr="00BB03EB" w:rsidRDefault="003B1285" w:rsidP="00FF2840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BB03EB">
              <w:rPr>
                <w:rFonts w:cs="Arial"/>
                <w:szCs w:val="20"/>
              </w:rPr>
              <w:t xml:space="preserve">Limit </w:t>
            </w:r>
            <w:r w:rsidR="000A6CB3" w:rsidRPr="00BB03EB">
              <w:rPr>
                <w:rFonts w:cs="Arial"/>
                <w:szCs w:val="20"/>
              </w:rPr>
              <w:t>300.000</w:t>
            </w:r>
          </w:p>
          <w:p w14:paraId="1034D24A" w14:textId="7F386D89" w:rsidR="000A6CB3" w:rsidRPr="00BB03EB" w:rsidRDefault="000A6CB3" w:rsidP="00FF2840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</w:p>
        </w:tc>
        <w:tc>
          <w:tcPr>
            <w:tcW w:w="1818" w:type="dxa"/>
            <w:noWrap/>
            <w:vAlign w:val="center"/>
          </w:tcPr>
          <w:p w14:paraId="55741435" w14:textId="77777777" w:rsidR="000A6CB3" w:rsidRPr="00BB03EB" w:rsidRDefault="000A6CB3" w:rsidP="00FF2840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</w:rPr>
              <w:t>1.000</w:t>
            </w:r>
          </w:p>
        </w:tc>
      </w:tr>
      <w:tr w:rsidR="00BB03EB" w:rsidRPr="00BB03EB" w14:paraId="4294E0FE" w14:textId="77777777" w:rsidTr="00FF2840">
        <w:trPr>
          <w:trHeight w:val="737"/>
        </w:trPr>
        <w:tc>
          <w:tcPr>
            <w:tcW w:w="9781" w:type="dxa"/>
            <w:gridSpan w:val="3"/>
            <w:vAlign w:val="center"/>
          </w:tcPr>
          <w:p w14:paraId="4117A154" w14:textId="1ED7FBBD" w:rsidR="000A6CB3" w:rsidRPr="00BB03EB" w:rsidRDefault="000A6CB3" w:rsidP="00FF2840">
            <w:pPr>
              <w:spacing w:line="320" w:lineRule="atLeast"/>
              <w:ind w:right="170"/>
              <w:rPr>
                <w:rFonts w:cs="Arial"/>
              </w:rPr>
            </w:pPr>
            <w:r w:rsidRPr="00BB03EB">
              <w:rPr>
                <w:rFonts w:cs="Arial"/>
                <w:b/>
                <w:bCs/>
              </w:rPr>
              <w:t>Ujednává se, že pojištěny jsou stroje do stáří 1</w:t>
            </w:r>
            <w:r w:rsidR="0035155F" w:rsidRPr="00BB03EB">
              <w:rPr>
                <w:rFonts w:cs="Arial"/>
                <w:b/>
                <w:bCs/>
              </w:rPr>
              <w:t>2</w:t>
            </w:r>
            <w:r w:rsidRPr="00BB03EB">
              <w:rPr>
                <w:rFonts w:cs="Arial"/>
                <w:b/>
                <w:bCs/>
              </w:rPr>
              <w:t xml:space="preserve"> let v době pojistné události.</w:t>
            </w:r>
          </w:p>
        </w:tc>
      </w:tr>
    </w:tbl>
    <w:p w14:paraId="21DC00C0" w14:textId="77777777" w:rsidR="00E60458" w:rsidRPr="00BB03EB" w:rsidRDefault="00E60458" w:rsidP="000A6CB3">
      <w:pPr>
        <w:spacing w:line="320" w:lineRule="atLeast"/>
        <w:jc w:val="both"/>
        <w:rPr>
          <w:rFonts w:cs="Arial"/>
          <w:b/>
          <w:bCs/>
          <w:sz w:val="22"/>
          <w:szCs w:val="22"/>
        </w:rPr>
      </w:pPr>
    </w:p>
    <w:p w14:paraId="477CA09E" w14:textId="6C2691CA" w:rsidR="000361CC" w:rsidRPr="00BB03EB" w:rsidRDefault="000361CC">
      <w:pPr>
        <w:spacing w:after="160" w:line="259" w:lineRule="auto"/>
        <w:rPr>
          <w:rFonts w:cs="Arial"/>
          <w:b/>
          <w:bCs/>
          <w:sz w:val="22"/>
          <w:szCs w:val="22"/>
        </w:rPr>
      </w:pPr>
      <w:r w:rsidRPr="00BB03EB">
        <w:rPr>
          <w:rFonts w:cs="Arial"/>
          <w:b/>
          <w:bCs/>
          <w:sz w:val="22"/>
          <w:szCs w:val="22"/>
        </w:rPr>
        <w:br w:type="page"/>
      </w:r>
    </w:p>
    <w:p w14:paraId="67D43646" w14:textId="07118DE1" w:rsidR="00D411B9" w:rsidRPr="00BB03EB" w:rsidRDefault="009B3CBB" w:rsidP="009B3CBB">
      <w:pPr>
        <w:numPr>
          <w:ilvl w:val="0"/>
          <w:numId w:val="1"/>
        </w:numPr>
        <w:tabs>
          <w:tab w:val="clear" w:pos="720"/>
          <w:tab w:val="num" w:pos="567"/>
        </w:tabs>
        <w:spacing w:line="320" w:lineRule="atLeast"/>
        <w:ind w:left="567" w:hanging="567"/>
        <w:jc w:val="both"/>
        <w:rPr>
          <w:rFonts w:cs="Arial"/>
          <w:b/>
          <w:bCs/>
          <w:sz w:val="22"/>
          <w:szCs w:val="22"/>
        </w:rPr>
      </w:pPr>
      <w:r w:rsidRPr="00BB03EB">
        <w:rPr>
          <w:rFonts w:cs="Arial"/>
          <w:b/>
          <w:bCs/>
          <w:sz w:val="22"/>
          <w:szCs w:val="22"/>
        </w:rPr>
        <w:t>Zvláštní ujednání k pojištění majetku</w:t>
      </w:r>
    </w:p>
    <w:p w14:paraId="7641DBD6" w14:textId="77777777" w:rsidR="000A6CB3" w:rsidRDefault="000A6CB3" w:rsidP="000A6CB3">
      <w:pPr>
        <w:suppressAutoHyphens/>
        <w:spacing w:before="2"/>
        <w:rPr>
          <w:b/>
          <w:bCs/>
        </w:rPr>
      </w:pPr>
    </w:p>
    <w:p w14:paraId="313EBED4" w14:textId="5B1F89A0" w:rsidR="00DD4D2B" w:rsidRPr="00C75289" w:rsidRDefault="00DD4D2B" w:rsidP="00DD4D2B">
      <w:pPr>
        <w:rPr>
          <w:b/>
          <w:bCs/>
        </w:rPr>
      </w:pPr>
      <w:r w:rsidRPr="00C75289">
        <w:rPr>
          <w:b/>
          <w:bCs/>
        </w:rPr>
        <w:t xml:space="preserve">Škody způsobené dvacetiletou vodou </w:t>
      </w:r>
      <w:r w:rsidR="00DF6FEA">
        <w:rPr>
          <w:b/>
          <w:bCs/>
        </w:rPr>
        <w:t>a menší</w:t>
      </w:r>
    </w:p>
    <w:p w14:paraId="4F2B9545" w14:textId="4D62671E" w:rsidR="00DD4D2B" w:rsidRDefault="00DD4D2B" w:rsidP="00DD4D2B">
      <w:pPr>
        <w:spacing w:before="120" w:line="320" w:lineRule="atLeast"/>
        <w:jc w:val="both"/>
      </w:pPr>
      <w:r w:rsidRPr="00C75289">
        <w:t>Ujednává se, že pro pojištění proti povodním, se v případě škody způsobené povodní v úrovni záplavového území příslušného dvacetiletému kulminačnímu průtoku (Q20), u něhož je výskytu povodně dlouhodobě dosaženo průměrně jednou za 20 let. (tzv. dvacetiletá a méně-letá voda)</w:t>
      </w:r>
      <w:r w:rsidR="00C75289" w:rsidRPr="00C75289">
        <w:t xml:space="preserve"> je kryto a</w:t>
      </w:r>
      <w:r w:rsidRPr="00C75289">
        <w:t xml:space="preserve"> sjednává</w:t>
      </w:r>
      <w:r w:rsidR="00C75289" w:rsidRPr="00C75289">
        <w:t xml:space="preserve"> se</w:t>
      </w:r>
      <w:r w:rsidRPr="00C75289">
        <w:t xml:space="preserve"> sublimit</w:t>
      </w:r>
      <w:r w:rsidR="00C75289" w:rsidRPr="00C75289">
        <w:t>em</w:t>
      </w:r>
      <w:r w:rsidRPr="00C75289">
        <w:t xml:space="preserve"> pojistného plnění ve výši 2.000.000 Kč.</w:t>
      </w:r>
    </w:p>
    <w:p w14:paraId="009362B7" w14:textId="77777777" w:rsidR="00DD4D2B" w:rsidRPr="00BB03EB" w:rsidRDefault="00DD4D2B" w:rsidP="000A6CB3">
      <w:pPr>
        <w:suppressAutoHyphens/>
        <w:spacing w:before="2"/>
        <w:rPr>
          <w:b/>
          <w:bCs/>
        </w:rPr>
      </w:pPr>
    </w:p>
    <w:p w14:paraId="1CDA3C7A" w14:textId="77777777" w:rsidR="00007DF5" w:rsidRPr="00BB03EB" w:rsidRDefault="00007DF5" w:rsidP="000A6CB3">
      <w:pPr>
        <w:suppressAutoHyphens/>
        <w:spacing w:before="2"/>
        <w:rPr>
          <w:b/>
          <w:bCs/>
          <w:highlight w:val="yellow"/>
        </w:rPr>
      </w:pPr>
    </w:p>
    <w:p w14:paraId="55703CA7" w14:textId="7CE2E281" w:rsidR="000A6CB3" w:rsidRPr="00BB03EB" w:rsidRDefault="000A6CB3" w:rsidP="000A6CB3">
      <w:pPr>
        <w:suppressAutoHyphens/>
        <w:spacing w:before="2"/>
      </w:pPr>
      <w:r w:rsidRPr="00BB03EB">
        <w:rPr>
          <w:b/>
          <w:bCs/>
        </w:rPr>
        <w:t xml:space="preserve">Tolerance podpojištění </w:t>
      </w:r>
    </w:p>
    <w:p w14:paraId="4DD3B160" w14:textId="34C2C4AE" w:rsidR="000A6CB3" w:rsidRPr="00BB03EB" w:rsidRDefault="002969CE" w:rsidP="000A6CB3">
      <w:pPr>
        <w:suppressAutoHyphens/>
        <w:spacing w:before="120" w:line="320" w:lineRule="atLeast"/>
        <w:jc w:val="both"/>
      </w:pPr>
      <w:r w:rsidRPr="00DF6FEA">
        <w:t>Ujednává se, že pokud pojistná částka předmětu pojištění v době pojistné události není nižší o více než 15 % než jeho pojistná hodnota, pojišťovna pro tento předmět neuplatní podpojištění ve smyslu § 2854 zákona č.89/2012 Sb.</w:t>
      </w:r>
      <w:r w:rsidRPr="002969CE">
        <w:t xml:space="preserve"> </w:t>
      </w:r>
      <w:r w:rsidR="000A6CB3" w:rsidRPr="00BB03EB">
        <w:t xml:space="preserve"> </w:t>
      </w:r>
    </w:p>
    <w:p w14:paraId="351C73B3" w14:textId="77777777" w:rsidR="000A6CB3" w:rsidRPr="00BB03EB" w:rsidRDefault="000A6CB3" w:rsidP="000A6CB3">
      <w:pPr>
        <w:suppressAutoHyphens/>
        <w:spacing w:before="2"/>
      </w:pPr>
    </w:p>
    <w:p w14:paraId="1F8F5A51" w14:textId="27187343" w:rsidR="000A6CB3" w:rsidRPr="00BB03EB" w:rsidRDefault="000A6CB3" w:rsidP="000A6CB3">
      <w:pPr>
        <w:suppressAutoHyphens/>
        <w:spacing w:before="2"/>
      </w:pPr>
      <w:r w:rsidRPr="00BB03EB">
        <w:rPr>
          <w:b/>
          <w:bCs/>
        </w:rPr>
        <w:t xml:space="preserve">Provozně nevyužívané budovy </w:t>
      </w:r>
    </w:p>
    <w:p w14:paraId="5988A96B" w14:textId="715D2D35" w:rsidR="000A6CB3" w:rsidRPr="00BB03EB" w:rsidRDefault="000A6CB3" w:rsidP="00F11F6A">
      <w:pPr>
        <w:suppressAutoHyphens/>
        <w:spacing w:before="120" w:line="320" w:lineRule="atLeast"/>
        <w:jc w:val="both"/>
      </w:pPr>
      <w:r w:rsidRPr="00BB03EB">
        <w:t xml:space="preserve">Pojištění se vztahuje na budovu nebo její část, která nebyla před vznikem škodní události ani v době vzniku škodní události využívána nebo nebyla provozně využívaná k účelu, k němuž je určena. </w:t>
      </w:r>
      <w:r w:rsidR="00F11F6A" w:rsidRPr="00DF6FEA">
        <w:t>Stav budovy bude pojistníkem kontrolován s frekvencí minimálně 1x měsíčně (včetně protokolu o prohlídce).</w:t>
      </w:r>
    </w:p>
    <w:p w14:paraId="3E079FAA" w14:textId="77777777" w:rsidR="000A6CB3" w:rsidRPr="00BB03EB" w:rsidRDefault="000A6CB3" w:rsidP="00751344">
      <w:pPr>
        <w:spacing w:after="160" w:line="259" w:lineRule="auto"/>
        <w:rPr>
          <w:b/>
          <w:bCs/>
          <w:i/>
          <w:iCs/>
        </w:rPr>
      </w:pPr>
    </w:p>
    <w:p w14:paraId="59F27902" w14:textId="700AA9AD" w:rsidR="002C04A4" w:rsidRPr="00BB03EB" w:rsidRDefault="002C04A4" w:rsidP="002C04A4">
      <w:pPr>
        <w:rPr>
          <w:b/>
          <w:bCs/>
        </w:rPr>
      </w:pPr>
      <w:r w:rsidRPr="00BB03EB">
        <w:rPr>
          <w:b/>
          <w:bCs/>
        </w:rPr>
        <w:t xml:space="preserve">Jedna spoluúčast </w:t>
      </w:r>
    </w:p>
    <w:p w14:paraId="46192EF9" w14:textId="77777777" w:rsidR="002C04A4" w:rsidRPr="00BB03EB" w:rsidRDefault="002C04A4" w:rsidP="002C04A4">
      <w:pPr>
        <w:suppressAutoHyphens/>
        <w:spacing w:before="120" w:line="320" w:lineRule="atLeast"/>
        <w:jc w:val="both"/>
      </w:pPr>
      <w:r w:rsidRPr="00BB03EB">
        <w:t xml:space="preserve">V případě pojistné události vzniklé z téže příčiny současně na více předmětech pojištění od celkového pojistného plnění odečte pojistitel pouze jednu spoluúčast, a to nejvyšší sjednanou, pokud není pro klienta výhodnější odečtení spoluúčast z jednotlivých pojistných nebezpečí a předmětů, jichž se pojistná událost týká. </w:t>
      </w:r>
    </w:p>
    <w:p w14:paraId="4F2BD9DA" w14:textId="77777777" w:rsidR="002C04A4" w:rsidRPr="00BB03EB" w:rsidRDefault="002C04A4" w:rsidP="002C04A4">
      <w:pPr>
        <w:suppressAutoHyphens/>
        <w:spacing w:before="120" w:line="320" w:lineRule="atLeast"/>
        <w:jc w:val="both"/>
      </w:pPr>
      <w:r w:rsidRPr="00DF6FEA">
        <w:t>V případě pojistné události vzniklé působením více pojistných nebezpečí (bez ohledu na skutečnost, zda vznikne na jednom nebo na více pojištěných věcech nebo souborech) odečte pojistitel pouze jednu spoluúčast, a to nejvyšší sjednanou, pokud není pro klienta výhodnější odečtení spoluúčast z jednotlivých pojistných nebezpečí a předmětů, jichž se pojistná událost týká.</w:t>
      </w:r>
      <w:r w:rsidRPr="00BB03EB">
        <w:t xml:space="preserve"> </w:t>
      </w:r>
    </w:p>
    <w:p w14:paraId="60516067" w14:textId="77777777" w:rsidR="002C04A4" w:rsidRPr="00BB03EB" w:rsidRDefault="002C04A4" w:rsidP="002C04A4">
      <w:pPr>
        <w:suppressAutoHyphens/>
        <w:spacing w:before="2"/>
        <w:rPr>
          <w:b/>
          <w:bCs/>
        </w:rPr>
      </w:pPr>
    </w:p>
    <w:p w14:paraId="467E6CD7" w14:textId="77777777" w:rsidR="00605732" w:rsidRPr="00BB03EB" w:rsidRDefault="00605732" w:rsidP="002C04A4">
      <w:pPr>
        <w:suppressAutoHyphens/>
        <w:spacing w:before="2"/>
        <w:rPr>
          <w:b/>
          <w:bCs/>
        </w:rPr>
      </w:pPr>
    </w:p>
    <w:p w14:paraId="2CEC31F3" w14:textId="641C57F8" w:rsidR="002C04A4" w:rsidRPr="00BB03EB" w:rsidRDefault="002C04A4" w:rsidP="002C04A4">
      <w:pPr>
        <w:rPr>
          <w:b/>
          <w:bCs/>
        </w:rPr>
      </w:pPr>
      <w:r w:rsidRPr="00BB03EB">
        <w:rPr>
          <w:b/>
          <w:bCs/>
        </w:rPr>
        <w:t xml:space="preserve">Jedna spoluúčast – živelní pojištění </w:t>
      </w:r>
    </w:p>
    <w:p w14:paraId="61783A52" w14:textId="37C05961" w:rsidR="00BF6660" w:rsidRPr="00BF6660" w:rsidRDefault="00BF6660" w:rsidP="00BF6660">
      <w:pPr>
        <w:suppressAutoHyphens/>
        <w:spacing w:before="120" w:line="320" w:lineRule="atLeast"/>
        <w:jc w:val="both"/>
      </w:pPr>
      <w:r w:rsidRPr="00DF6FEA">
        <w:t>Ujednává se, že za jednu pojistnou událost způsobenou některým z pojistných nebezpečí povodeň, záplava, vichřice, krupobití nebo zemětřesení se považují všechny události, ke kterým došlo z téže příčiny během souvislé doby 72 po sobě jdoucích hodin. Toto se vztahuje také na případy, kdy pojistná událost nastane z jedné příčiny na více místech pojištění.</w:t>
      </w:r>
    </w:p>
    <w:p w14:paraId="55240789" w14:textId="77777777" w:rsidR="002969CE" w:rsidRPr="00BB03EB" w:rsidRDefault="002969CE" w:rsidP="002C04A4">
      <w:pPr>
        <w:suppressAutoHyphens/>
        <w:spacing w:before="2"/>
        <w:rPr>
          <w:b/>
          <w:bCs/>
        </w:rPr>
      </w:pPr>
    </w:p>
    <w:p w14:paraId="2B7779EF" w14:textId="77777777" w:rsidR="002C04A4" w:rsidRPr="00BB03EB" w:rsidRDefault="002C04A4" w:rsidP="002C04A4">
      <w:pPr>
        <w:suppressAutoHyphens/>
        <w:spacing w:before="2"/>
        <w:rPr>
          <w:b/>
          <w:bCs/>
        </w:rPr>
      </w:pPr>
    </w:p>
    <w:p w14:paraId="218DA210" w14:textId="2E67A454" w:rsidR="002C04A4" w:rsidRPr="00BB03EB" w:rsidRDefault="002C04A4" w:rsidP="002C04A4">
      <w:pPr>
        <w:rPr>
          <w:b/>
          <w:bCs/>
        </w:rPr>
      </w:pPr>
      <w:r w:rsidRPr="00BB03EB">
        <w:rPr>
          <w:b/>
          <w:bCs/>
        </w:rPr>
        <w:t xml:space="preserve">Automatické pojištění nově pořízeného majetku </w:t>
      </w:r>
    </w:p>
    <w:p w14:paraId="0E9837F8" w14:textId="2E725152" w:rsidR="00007DF5" w:rsidRPr="00BB03EB" w:rsidRDefault="002969CE" w:rsidP="00007DF5">
      <w:pPr>
        <w:suppressAutoHyphens/>
        <w:spacing w:before="120" w:line="320" w:lineRule="atLeast"/>
        <w:jc w:val="both"/>
      </w:pPr>
      <w:r w:rsidRPr="00F1273B">
        <w:t>Ujednává se, že nově pořízený majetek patřící svým charakterem do majetku již pojištěného, který pojištěný nabude v průběhu pojistného roku, je zahrnut do pojištění okamžikem přechodu do vlastnictví pojištěného. Zvýší-li se tím pojistná hodnota o méně než 10 %, nebude pojišťovna požadovat doplatek pojistného za pojistný rok, v němž ke zvýšení došlo. Zvýší-li se však pojistná hodnota o více než 10 %, je pojistník povinen pojišťovně písemně oznámit aktualizovanou pojistnou částku. Pojišťovna provede vyúčtování pojistného za tuto změnu dle podmínek pojistné smlouvy.</w:t>
      </w:r>
      <w:r w:rsidR="00DF6FEA">
        <w:t xml:space="preserve"> </w:t>
      </w:r>
    </w:p>
    <w:p w14:paraId="0C15B664" w14:textId="77777777" w:rsidR="002C04A4" w:rsidRPr="00BB03EB" w:rsidRDefault="002C04A4" w:rsidP="002C04A4">
      <w:pPr>
        <w:suppressAutoHyphens/>
        <w:spacing w:before="2"/>
        <w:rPr>
          <w:b/>
          <w:bCs/>
        </w:rPr>
      </w:pPr>
    </w:p>
    <w:p w14:paraId="2F601EE4" w14:textId="77777777" w:rsidR="000361CC" w:rsidRPr="00BB03EB" w:rsidRDefault="000361CC" w:rsidP="002C04A4">
      <w:pPr>
        <w:suppressAutoHyphens/>
        <w:spacing w:before="2"/>
        <w:rPr>
          <w:b/>
          <w:bCs/>
        </w:rPr>
      </w:pPr>
    </w:p>
    <w:p w14:paraId="3802D719" w14:textId="08A591A8" w:rsidR="002C04A4" w:rsidRPr="00BB03EB" w:rsidRDefault="002C04A4" w:rsidP="002C04A4">
      <w:pPr>
        <w:suppressAutoHyphens/>
        <w:spacing w:before="2"/>
      </w:pPr>
      <w:r w:rsidRPr="00BB03EB">
        <w:rPr>
          <w:b/>
          <w:bCs/>
        </w:rPr>
        <w:t xml:space="preserve">Náraz vozidla </w:t>
      </w:r>
    </w:p>
    <w:p w14:paraId="60029978" w14:textId="77777777" w:rsidR="002C04A4" w:rsidRPr="00BB03EB" w:rsidRDefault="002C04A4" w:rsidP="002C04A4">
      <w:pPr>
        <w:suppressAutoHyphens/>
        <w:spacing w:before="120" w:line="320" w:lineRule="atLeast"/>
        <w:jc w:val="both"/>
      </w:pPr>
      <w:r w:rsidRPr="00BB03EB">
        <w:t xml:space="preserve">Pojištění se vztahuje na škody způsobené nárazem vozidla (dopravního prostředku) nebo jím přepravovaného nákladu, a to i pro případ, kdy bylo vozidlo v době nárazu řízeno, provozováno či vlastněno pojištěným nebo bylo součástí majetku pojištěného dle této pojistné smlouvy. </w:t>
      </w:r>
    </w:p>
    <w:p w14:paraId="5EC6840F" w14:textId="77777777" w:rsidR="002C04A4" w:rsidRPr="00BB03EB" w:rsidRDefault="002C04A4" w:rsidP="002C04A4">
      <w:pPr>
        <w:suppressAutoHyphens/>
        <w:spacing w:before="2"/>
        <w:rPr>
          <w:b/>
          <w:bCs/>
        </w:rPr>
      </w:pPr>
    </w:p>
    <w:p w14:paraId="7D1D9A12" w14:textId="77777777" w:rsidR="000361CC" w:rsidRPr="00BB03EB" w:rsidRDefault="000361CC" w:rsidP="002C04A4">
      <w:pPr>
        <w:suppressAutoHyphens/>
        <w:spacing w:before="2"/>
        <w:rPr>
          <w:b/>
          <w:bCs/>
        </w:rPr>
      </w:pPr>
    </w:p>
    <w:p w14:paraId="00C509C5" w14:textId="52D19CDE" w:rsidR="002C04A4" w:rsidRPr="00BB03EB" w:rsidRDefault="002C04A4" w:rsidP="002C04A4">
      <w:pPr>
        <w:suppressAutoHyphens/>
        <w:spacing w:before="2"/>
        <w:rPr>
          <w:b/>
          <w:bCs/>
        </w:rPr>
      </w:pPr>
      <w:r w:rsidRPr="00BB03EB">
        <w:rPr>
          <w:b/>
          <w:bCs/>
        </w:rPr>
        <w:t>Čekací doba</w:t>
      </w:r>
    </w:p>
    <w:p w14:paraId="221487A3" w14:textId="77777777" w:rsidR="002C04A4" w:rsidRPr="00BB03EB" w:rsidRDefault="002C04A4" w:rsidP="002C04A4">
      <w:pPr>
        <w:suppressAutoHyphens/>
        <w:spacing w:before="120" w:line="320" w:lineRule="atLeast"/>
        <w:jc w:val="both"/>
      </w:pPr>
      <w:r w:rsidRPr="00BB03EB">
        <w:t>Pojistitel je povinen poskytnout pojistné plnění za všechny škodní události (např. v důsledku povodně či vichřice) od počátku účinnosti pojištění bez čekací doby (karenční lhůty).</w:t>
      </w:r>
    </w:p>
    <w:p w14:paraId="08A42D1E" w14:textId="77777777" w:rsidR="002C04A4" w:rsidRPr="00BB03EB" w:rsidRDefault="002C04A4" w:rsidP="002C04A4">
      <w:pPr>
        <w:suppressAutoHyphens/>
        <w:spacing w:before="2"/>
        <w:rPr>
          <w:b/>
          <w:bCs/>
        </w:rPr>
      </w:pPr>
    </w:p>
    <w:p w14:paraId="3FFCACFF" w14:textId="77777777" w:rsidR="000361CC" w:rsidRPr="00BB03EB" w:rsidRDefault="000361CC" w:rsidP="002C04A4">
      <w:pPr>
        <w:suppressAutoHyphens/>
        <w:spacing w:before="2"/>
        <w:rPr>
          <w:b/>
          <w:bCs/>
        </w:rPr>
      </w:pPr>
    </w:p>
    <w:p w14:paraId="1D63A005" w14:textId="77777777" w:rsidR="002C04A4" w:rsidRPr="00BB03EB" w:rsidRDefault="002C04A4" w:rsidP="002C04A4">
      <w:pPr>
        <w:suppressAutoHyphens/>
        <w:spacing w:before="2"/>
      </w:pPr>
      <w:r w:rsidRPr="00BB03EB">
        <w:rPr>
          <w:b/>
          <w:bCs/>
        </w:rPr>
        <w:t xml:space="preserve">Zateplené fasády a střešní konstrukce budov </w:t>
      </w:r>
    </w:p>
    <w:p w14:paraId="11FE9FEC" w14:textId="77777777" w:rsidR="002C04A4" w:rsidRPr="00BB03EB" w:rsidRDefault="002C04A4" w:rsidP="002C04A4">
      <w:pPr>
        <w:suppressAutoHyphens/>
        <w:spacing w:before="120" w:line="320" w:lineRule="atLeast"/>
        <w:jc w:val="both"/>
      </w:pPr>
      <w:r w:rsidRPr="00BB03EB">
        <w:t xml:space="preserve">Pojistným nebezpečím poškození zateplených fasád a zateplených střešních konstrukcí budov se rozumí poškození zateplené fasády nebo zateplené střešní konstrukce destruktivní činností ptactva, hmyzu nebo hlodavců. </w:t>
      </w:r>
    </w:p>
    <w:p w14:paraId="7049D020" w14:textId="77777777" w:rsidR="002C04A4" w:rsidRPr="00BB03EB" w:rsidRDefault="002C04A4" w:rsidP="002C04A4">
      <w:pPr>
        <w:suppressAutoHyphens/>
        <w:spacing w:before="120" w:line="320" w:lineRule="atLeast"/>
        <w:jc w:val="both"/>
      </w:pPr>
      <w:r w:rsidRPr="00BB03EB">
        <w:t xml:space="preserve">Zateplenou fasádou se rozumí vnější tepelně izolační kompozitní systém s tepelnou izolací z pěnového polystyrenu nebo z minerální vlny a s konečnou povrchovou úpravou omítky nebo omítky a nátěrem (ČSN 73 2901). </w:t>
      </w:r>
    </w:p>
    <w:p w14:paraId="5AC24456" w14:textId="77777777" w:rsidR="002C04A4" w:rsidRPr="00BB03EB" w:rsidRDefault="002C04A4" w:rsidP="002C04A4">
      <w:pPr>
        <w:suppressAutoHyphens/>
        <w:spacing w:before="120" w:line="320" w:lineRule="atLeast"/>
        <w:jc w:val="both"/>
      </w:pPr>
      <w:r w:rsidRPr="00BB03EB">
        <w:t xml:space="preserve">Zateplenou střešní konstrukcí se rozumí vnější tepelná izolace střechy provedená použitím nástřiku tvrdé PUR pěny dle ČSN EN 823 a s nástřikem ochranné vrstvy. </w:t>
      </w:r>
    </w:p>
    <w:p w14:paraId="322CED8A" w14:textId="77777777" w:rsidR="002C04A4" w:rsidRPr="00BB03EB" w:rsidRDefault="002C04A4" w:rsidP="002C04A4">
      <w:pPr>
        <w:suppressAutoHyphens/>
        <w:spacing w:before="2"/>
      </w:pPr>
    </w:p>
    <w:p w14:paraId="2D59B6C5" w14:textId="77777777" w:rsidR="000361CC" w:rsidRPr="00BB03EB" w:rsidRDefault="000361CC" w:rsidP="002C04A4">
      <w:pPr>
        <w:suppressAutoHyphens/>
        <w:spacing w:before="2"/>
      </w:pPr>
    </w:p>
    <w:p w14:paraId="00A1A41F" w14:textId="77777777" w:rsidR="002C04A4" w:rsidRPr="00BB03EB" w:rsidRDefault="002C04A4" w:rsidP="002C04A4">
      <w:pPr>
        <w:suppressAutoHyphens/>
        <w:spacing w:before="2"/>
      </w:pPr>
      <w:r w:rsidRPr="00BB03EB">
        <w:rPr>
          <w:b/>
          <w:bCs/>
        </w:rPr>
        <w:t xml:space="preserve">Pojištění odcizení majetku </w:t>
      </w:r>
    </w:p>
    <w:p w14:paraId="5421FCB2" w14:textId="77777777" w:rsidR="002C04A4" w:rsidRPr="00BB03EB" w:rsidRDefault="002C04A4" w:rsidP="002C04A4">
      <w:pPr>
        <w:suppressAutoHyphens/>
        <w:spacing w:before="120" w:line="320" w:lineRule="atLeast"/>
        <w:jc w:val="both"/>
      </w:pPr>
      <w:r w:rsidRPr="00BB03EB">
        <w:t xml:space="preserve">Pojištění se vztahuje také na škody, které nastanou na stavebních součástech pojištěných budov a staveb. Pojištěny jsou také škody na vnějších stavebních součástech, způsobené jejich odcizením, popřípadě poškozením nebo zničením, ke kterému dojde při pokusu o odcizení. Odcizení v tomto případě nemusí vykazovat známky krádeže vloupáním. Stavební součásti musí být upevněny obvyklým způsobem a při jejich odcizení musí pachatel prokazatelně použít násilí (násilím překonat upevnění). Všechny takto vzniklé škody musí být nahlášeny Policii ČR. </w:t>
      </w:r>
    </w:p>
    <w:p w14:paraId="36E824CA" w14:textId="77777777" w:rsidR="002C04A4" w:rsidRPr="00BB03EB" w:rsidRDefault="002C04A4" w:rsidP="002C04A4">
      <w:pPr>
        <w:suppressAutoHyphens/>
        <w:spacing w:before="2"/>
        <w:rPr>
          <w:b/>
          <w:bCs/>
        </w:rPr>
      </w:pPr>
    </w:p>
    <w:p w14:paraId="624C68C4" w14:textId="77777777" w:rsidR="000361CC" w:rsidRPr="00BB03EB" w:rsidRDefault="000361CC" w:rsidP="002C04A4">
      <w:pPr>
        <w:suppressAutoHyphens/>
        <w:spacing w:before="2"/>
        <w:rPr>
          <w:b/>
          <w:bCs/>
        </w:rPr>
      </w:pPr>
    </w:p>
    <w:p w14:paraId="02D81C73" w14:textId="77777777" w:rsidR="002C04A4" w:rsidRPr="00BB03EB" w:rsidRDefault="002C04A4" w:rsidP="002C04A4">
      <w:pPr>
        <w:suppressAutoHyphens/>
        <w:spacing w:before="2"/>
      </w:pPr>
      <w:r w:rsidRPr="00BB03EB">
        <w:rPr>
          <w:b/>
          <w:bCs/>
        </w:rPr>
        <w:t xml:space="preserve">Pojištění věcí na volném prostranství </w:t>
      </w:r>
    </w:p>
    <w:p w14:paraId="37C80AB2" w14:textId="77777777" w:rsidR="002C04A4" w:rsidRPr="00BB03EB" w:rsidRDefault="002C04A4" w:rsidP="002C04A4">
      <w:pPr>
        <w:suppressAutoHyphens/>
        <w:spacing w:before="120" w:line="320" w:lineRule="atLeast"/>
        <w:jc w:val="both"/>
      </w:pPr>
      <w:r w:rsidRPr="00BB03EB">
        <w:t xml:space="preserve">U pojištění věcí na volném prostranství se způsobem zabezpečení také rozumí překážka vytvořená vlastnostmi věci - velká hmotnost, nadměrné rozměry, nutná demontáž, atd. </w:t>
      </w:r>
    </w:p>
    <w:p w14:paraId="104F1ADF" w14:textId="77777777" w:rsidR="002C04A4" w:rsidRPr="00BB03EB" w:rsidRDefault="002C04A4" w:rsidP="002C04A4">
      <w:pPr>
        <w:suppressAutoHyphens/>
        <w:spacing w:before="2"/>
        <w:rPr>
          <w:b/>
          <w:bCs/>
        </w:rPr>
      </w:pPr>
    </w:p>
    <w:p w14:paraId="6DAF0882" w14:textId="77777777" w:rsidR="000361CC" w:rsidRPr="00BB03EB" w:rsidRDefault="000361CC" w:rsidP="002C04A4">
      <w:pPr>
        <w:suppressAutoHyphens/>
        <w:spacing w:before="2"/>
        <w:rPr>
          <w:b/>
          <w:bCs/>
        </w:rPr>
      </w:pPr>
    </w:p>
    <w:p w14:paraId="45C69D13" w14:textId="77777777" w:rsidR="002C04A4" w:rsidRPr="00BB03EB" w:rsidRDefault="002C04A4" w:rsidP="002C04A4">
      <w:pPr>
        <w:suppressAutoHyphens/>
        <w:spacing w:before="2"/>
      </w:pPr>
      <w:r w:rsidRPr="00BB03EB">
        <w:rPr>
          <w:b/>
          <w:bCs/>
        </w:rPr>
        <w:t xml:space="preserve">Škody na kamerovém systému </w:t>
      </w:r>
    </w:p>
    <w:p w14:paraId="2BA3D6E7" w14:textId="4CE70FDD" w:rsidR="002C04A4" w:rsidRPr="00BB03EB" w:rsidRDefault="002C04A4" w:rsidP="00DF6FEA">
      <w:pPr>
        <w:suppressAutoHyphens/>
        <w:spacing w:before="120" w:line="320" w:lineRule="atLeast"/>
        <w:jc w:val="both"/>
      </w:pPr>
      <w:r w:rsidRPr="00BB03EB">
        <w:t xml:space="preserve">V případě pojistných událostí uplatňovaných na kamerovém systému poskytne pojistitel plnění, budou-li pojištěné věci umístěny mimo uzavřený prostor, mimo oplocené prostranství a při jejich odcizení dojde k překonání konstrukčního upevnění. </w:t>
      </w:r>
    </w:p>
    <w:p w14:paraId="08ADD9AD" w14:textId="77777777" w:rsidR="00605732" w:rsidRDefault="00605732" w:rsidP="002C04A4">
      <w:pPr>
        <w:suppressAutoHyphens/>
        <w:spacing w:before="2"/>
      </w:pPr>
    </w:p>
    <w:p w14:paraId="3EF5CC9B" w14:textId="77777777" w:rsidR="00F1273B" w:rsidRDefault="00F1273B" w:rsidP="002C04A4">
      <w:pPr>
        <w:suppressAutoHyphens/>
        <w:spacing w:before="2"/>
      </w:pPr>
    </w:p>
    <w:p w14:paraId="69A8770A" w14:textId="77777777" w:rsidR="00F1273B" w:rsidRDefault="00F1273B" w:rsidP="002C04A4">
      <w:pPr>
        <w:suppressAutoHyphens/>
        <w:spacing w:before="2"/>
      </w:pPr>
    </w:p>
    <w:p w14:paraId="31B99474" w14:textId="77777777" w:rsidR="00F1273B" w:rsidRDefault="00F1273B" w:rsidP="002C04A4">
      <w:pPr>
        <w:suppressAutoHyphens/>
        <w:spacing w:before="2"/>
      </w:pPr>
    </w:p>
    <w:p w14:paraId="699BA0DB" w14:textId="77777777" w:rsidR="00F1273B" w:rsidRDefault="00F1273B" w:rsidP="002C04A4">
      <w:pPr>
        <w:suppressAutoHyphens/>
        <w:spacing w:before="2"/>
      </w:pPr>
    </w:p>
    <w:p w14:paraId="74FAFBFB" w14:textId="77777777" w:rsidR="00F1273B" w:rsidRPr="00BB03EB" w:rsidRDefault="00F1273B" w:rsidP="002C04A4">
      <w:pPr>
        <w:suppressAutoHyphens/>
        <w:spacing w:before="2"/>
      </w:pPr>
    </w:p>
    <w:p w14:paraId="29B7B2EF" w14:textId="16ADBF1F" w:rsidR="00605732" w:rsidRPr="0015208B" w:rsidRDefault="00605732" w:rsidP="00605732">
      <w:pPr>
        <w:suppressAutoHyphens/>
        <w:spacing w:before="2"/>
        <w:rPr>
          <w:b/>
          <w:bCs/>
        </w:rPr>
      </w:pPr>
      <w:r w:rsidRPr="0015208B">
        <w:rPr>
          <w:b/>
          <w:bCs/>
        </w:rPr>
        <w:t>Nová cena pojištěné věci</w:t>
      </w:r>
      <w:r w:rsidR="00DF6FEA" w:rsidRPr="0015208B">
        <w:rPr>
          <w:b/>
          <w:bCs/>
        </w:rPr>
        <w:t xml:space="preserve"> </w:t>
      </w:r>
    </w:p>
    <w:p w14:paraId="0758357F" w14:textId="77777777" w:rsidR="00605732" w:rsidRPr="00BB03EB" w:rsidRDefault="00605732" w:rsidP="00605732">
      <w:pPr>
        <w:suppressAutoHyphens/>
        <w:spacing w:before="120" w:line="320" w:lineRule="atLeast"/>
        <w:jc w:val="both"/>
      </w:pPr>
      <w:r w:rsidRPr="0015208B">
        <w:t>Pojistná hodnota je nejvyšší možná majetková újma, která může v důsledku pojistné události nastat. Pojistná hodnota pojištěných věcí je stanovena v nové ceně. Novou cenou se rozumí cena, za kterou</w:t>
      </w:r>
      <w:r w:rsidRPr="00BB03EB">
        <w:t xml:space="preserve"> lze stejnou nebo srovnatelnou věc sloužící stejnému účelu, znovu pořídit v daném čase a na daném místě jako věc novou.</w:t>
      </w:r>
    </w:p>
    <w:p w14:paraId="5E09053A" w14:textId="5998B6AB" w:rsidR="00605732" w:rsidRPr="00BB03EB" w:rsidRDefault="00605732" w:rsidP="00605732">
      <w:pPr>
        <w:suppressAutoHyphens/>
        <w:spacing w:before="120" w:line="320" w:lineRule="atLeast"/>
        <w:jc w:val="both"/>
      </w:pPr>
      <w:r w:rsidRPr="00BB03EB">
        <w:t xml:space="preserve">Pojistitel poskytne pojistné plnění v nové ceně vždy, pokud míra opotřebení věci nebude v době vzniku pojistné události větší než </w:t>
      </w:r>
      <w:r w:rsidR="00F11F6A">
        <w:t>7</w:t>
      </w:r>
      <w:r w:rsidRPr="00BB03EB">
        <w:t>0 %.</w:t>
      </w:r>
    </w:p>
    <w:p w14:paraId="71B78D61" w14:textId="77777777" w:rsidR="00605732" w:rsidRPr="00BB03EB" w:rsidRDefault="00605732" w:rsidP="002C04A4">
      <w:pPr>
        <w:suppressAutoHyphens/>
        <w:spacing w:before="2"/>
      </w:pPr>
    </w:p>
    <w:p w14:paraId="137381E2" w14:textId="77777777" w:rsidR="00941C7F" w:rsidRPr="00BB03EB" w:rsidRDefault="00941C7F" w:rsidP="002C04A4">
      <w:pPr>
        <w:suppressAutoHyphens/>
        <w:spacing w:before="2"/>
      </w:pPr>
    </w:p>
    <w:p w14:paraId="30622905" w14:textId="4E7BCB63" w:rsidR="00941C7F" w:rsidRPr="00BB03EB" w:rsidRDefault="00941C7F" w:rsidP="00941C7F">
      <w:pPr>
        <w:suppressAutoHyphens/>
        <w:spacing w:before="2"/>
        <w:rPr>
          <w:b/>
          <w:bCs/>
        </w:rPr>
      </w:pPr>
      <w:r w:rsidRPr="00BB03EB">
        <w:rPr>
          <w:b/>
          <w:bCs/>
        </w:rPr>
        <w:t xml:space="preserve">Vícenáklady spojené s historickou, zvláštní nebo uměleckou hodnotou věci </w:t>
      </w:r>
    </w:p>
    <w:p w14:paraId="40CC65DB" w14:textId="05F823A6" w:rsidR="00941C7F" w:rsidRPr="00BB03EB" w:rsidRDefault="00941C7F" w:rsidP="00941C7F">
      <w:pPr>
        <w:suppressAutoHyphens/>
        <w:spacing w:before="120" w:line="320" w:lineRule="atLeast"/>
        <w:jc w:val="both"/>
      </w:pPr>
      <w:r w:rsidRPr="00DF6FEA">
        <w:t xml:space="preserve">Pojištění se vztahuje bez omezení na historické nebo památkově chráněné objekty a předměty zvláštní, umělecké nebo historické hodnoty. Dojde-li v důsledku pojistné události ke zničení, poškození, odcizení nebo ztrátě těchto předmětů pojištění, poskytne </w:t>
      </w:r>
      <w:r w:rsidR="00122B71" w:rsidRPr="00DF6FEA">
        <w:t>poj</w:t>
      </w:r>
      <w:r w:rsidR="00BF6660" w:rsidRPr="00DF6FEA">
        <w:t>i</w:t>
      </w:r>
      <w:r w:rsidR="00122B71" w:rsidRPr="00DF6FEA">
        <w:t>šťovna</w:t>
      </w:r>
      <w:r w:rsidRPr="00DF6FEA">
        <w:t xml:space="preserve"> pojistné plnění do výše </w:t>
      </w:r>
      <w:r w:rsidR="00122B71" w:rsidRPr="00DF6FEA">
        <w:t>sjednaného limitu plnění nebo uhradí přiměřené náklady na jeho opravu, maximálně však do výše sjednaného limitu plnění včetně nákladů vyvolaných specifickými požadavky orgánu památkové péče</w:t>
      </w:r>
      <w:r w:rsidRPr="00DF6FEA">
        <w:t>.</w:t>
      </w:r>
      <w:r w:rsidRPr="00BB03EB">
        <w:t xml:space="preserve"> </w:t>
      </w:r>
    </w:p>
    <w:p w14:paraId="130E8DCA" w14:textId="77777777" w:rsidR="00941C7F" w:rsidRDefault="00941C7F" w:rsidP="002C04A4">
      <w:pPr>
        <w:suppressAutoHyphens/>
        <w:spacing w:before="2"/>
      </w:pPr>
    </w:p>
    <w:p w14:paraId="0ED6F48D" w14:textId="77777777" w:rsidR="00303C0F" w:rsidRPr="00BB03EB" w:rsidRDefault="00303C0F" w:rsidP="002C04A4">
      <w:pPr>
        <w:suppressAutoHyphens/>
        <w:spacing w:before="2"/>
      </w:pPr>
    </w:p>
    <w:p w14:paraId="35F7317C" w14:textId="5EDA331F" w:rsidR="00303C0F" w:rsidRPr="00305CDD" w:rsidRDefault="00303C0F" w:rsidP="00303C0F">
      <w:pPr>
        <w:suppressAutoHyphens/>
        <w:spacing w:before="2"/>
        <w:rPr>
          <w:b/>
          <w:bCs/>
        </w:rPr>
      </w:pPr>
      <w:r w:rsidRPr="00305CDD">
        <w:rPr>
          <w:b/>
          <w:bCs/>
        </w:rPr>
        <w:t>Pojištění lehkých konstrukcí</w:t>
      </w:r>
      <w:r w:rsidR="00305CDD" w:rsidRPr="00305CDD">
        <w:rPr>
          <w:b/>
          <w:bCs/>
        </w:rPr>
        <w:t xml:space="preserve"> a staveb na vodních tocích</w:t>
      </w:r>
    </w:p>
    <w:p w14:paraId="67324181" w14:textId="685FC0EE" w:rsidR="00303C0F" w:rsidRPr="00303C0F" w:rsidRDefault="00303C0F" w:rsidP="00303C0F">
      <w:pPr>
        <w:suppressAutoHyphens/>
        <w:spacing w:before="120" w:line="320" w:lineRule="atLeast"/>
        <w:jc w:val="both"/>
      </w:pPr>
      <w:r w:rsidRPr="00305CDD">
        <w:t>V pojistné smlouvě sjednané pojištění se bez dalších omezení vztahuje na objekty s kovovou, dřevěnou či obdobnou konstrukcí doplněné o lehké opláštění (na bázi dřeva, dřevěných či obdobných desek, textilu, plechu) a dále na nafukovací objekty a mobilní buňky</w:t>
      </w:r>
      <w:r w:rsidR="00305CDD" w:rsidRPr="00305CDD">
        <w:t>, a dále stavby na vodních tocích</w:t>
      </w:r>
      <w:r w:rsidRPr="00305CDD">
        <w:t>.</w:t>
      </w:r>
    </w:p>
    <w:p w14:paraId="6B33EE0F" w14:textId="77777777" w:rsidR="00122B71" w:rsidRPr="00122B71" w:rsidRDefault="00122B71" w:rsidP="00122B71">
      <w:pPr>
        <w:spacing w:after="160" w:line="259" w:lineRule="auto"/>
        <w:rPr>
          <w:rFonts w:cs="Arial"/>
          <w:b/>
          <w:bCs/>
          <w:sz w:val="22"/>
          <w:szCs w:val="22"/>
        </w:rPr>
      </w:pPr>
    </w:p>
    <w:p w14:paraId="24261848" w14:textId="77777777" w:rsidR="009B3CBB" w:rsidRPr="00BB03EB" w:rsidRDefault="009B3CBB">
      <w:pPr>
        <w:spacing w:after="160" w:line="259" w:lineRule="auto"/>
        <w:rPr>
          <w:rFonts w:cs="Arial"/>
          <w:b/>
          <w:bCs/>
          <w:sz w:val="22"/>
          <w:szCs w:val="22"/>
        </w:rPr>
      </w:pPr>
      <w:r w:rsidRPr="00BB03EB">
        <w:rPr>
          <w:rFonts w:cs="Arial"/>
          <w:b/>
          <w:bCs/>
          <w:sz w:val="22"/>
          <w:szCs w:val="22"/>
        </w:rPr>
        <w:br w:type="page"/>
      </w:r>
    </w:p>
    <w:p w14:paraId="179ECF4F" w14:textId="04900540" w:rsidR="00D411B9" w:rsidRPr="00BB03EB" w:rsidRDefault="00D411B9" w:rsidP="00D411B9">
      <w:pPr>
        <w:numPr>
          <w:ilvl w:val="0"/>
          <w:numId w:val="1"/>
        </w:numPr>
        <w:tabs>
          <w:tab w:val="clear" w:pos="720"/>
          <w:tab w:val="num" w:pos="567"/>
        </w:tabs>
        <w:spacing w:line="320" w:lineRule="atLeast"/>
        <w:ind w:left="567" w:hanging="567"/>
        <w:jc w:val="both"/>
        <w:rPr>
          <w:rFonts w:cs="Arial"/>
          <w:b/>
          <w:bCs/>
          <w:sz w:val="22"/>
          <w:szCs w:val="22"/>
        </w:rPr>
      </w:pPr>
      <w:r w:rsidRPr="00BB03EB">
        <w:rPr>
          <w:rFonts w:cs="Arial"/>
          <w:b/>
          <w:bCs/>
          <w:sz w:val="22"/>
          <w:szCs w:val="22"/>
        </w:rPr>
        <w:t>Pojištění odpovědnosti</w:t>
      </w:r>
    </w:p>
    <w:p w14:paraId="4283D77A" w14:textId="77777777" w:rsidR="00D411B9" w:rsidRPr="00BB03EB" w:rsidRDefault="00D411B9" w:rsidP="00D411B9">
      <w:pPr>
        <w:spacing w:line="320" w:lineRule="atLeast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4FEA27B3" w14:textId="68E92AFD" w:rsidR="002E4519" w:rsidRPr="00BB03EB" w:rsidRDefault="002E4519" w:rsidP="002E4519">
      <w:pPr>
        <w:tabs>
          <w:tab w:val="num" w:pos="426"/>
          <w:tab w:val="left" w:pos="2127"/>
        </w:tabs>
        <w:spacing w:line="320" w:lineRule="atLeast"/>
        <w:jc w:val="both"/>
        <w:rPr>
          <w:rFonts w:cs="Arial"/>
          <w:bCs/>
          <w:szCs w:val="20"/>
        </w:rPr>
      </w:pPr>
      <w:r w:rsidRPr="00BB03EB">
        <w:rPr>
          <w:rFonts w:cs="Arial"/>
          <w:b/>
          <w:bCs/>
          <w:szCs w:val="20"/>
        </w:rPr>
        <w:t>Pojištěné subjekty:</w:t>
      </w:r>
      <w:r w:rsidRPr="00BB03EB">
        <w:rPr>
          <w:rFonts w:cs="Arial"/>
          <w:b/>
          <w:bCs/>
          <w:szCs w:val="20"/>
        </w:rPr>
        <w:tab/>
      </w:r>
      <w:r w:rsidRPr="00BB03EB">
        <w:rPr>
          <w:rFonts w:cs="Arial"/>
          <w:bCs/>
          <w:szCs w:val="20"/>
        </w:rPr>
        <w:t>Město Bílina (IČ 00266230)</w:t>
      </w:r>
    </w:p>
    <w:p w14:paraId="19B5432B" w14:textId="35F5DABE" w:rsidR="002560A8" w:rsidRPr="00BB03EB" w:rsidRDefault="002560A8" w:rsidP="007A2E2D">
      <w:pPr>
        <w:tabs>
          <w:tab w:val="num" w:pos="426"/>
          <w:tab w:val="left" w:pos="2127"/>
        </w:tabs>
        <w:spacing w:line="320" w:lineRule="atLeast"/>
        <w:ind w:left="2124"/>
        <w:jc w:val="both"/>
        <w:rPr>
          <w:rFonts w:cs="Arial"/>
          <w:bCs/>
          <w:szCs w:val="20"/>
        </w:rPr>
      </w:pPr>
      <w:r w:rsidRPr="00BB03EB">
        <w:rPr>
          <w:rFonts w:cs="Arial"/>
          <w:bCs/>
          <w:szCs w:val="20"/>
        </w:rPr>
        <w:tab/>
      </w:r>
      <w:bookmarkStart w:id="1" w:name="_Hlk207097825"/>
      <w:r w:rsidR="007A2E2D">
        <w:fldChar w:fldCharType="begin"/>
      </w:r>
      <w:r w:rsidR="007A2E2D">
        <w:instrText>HYPERLINK "https://prospector.bizmachine.com/cz/company/65639618"</w:instrText>
      </w:r>
      <w:r w:rsidR="007A2E2D">
        <w:fldChar w:fldCharType="separate"/>
      </w:r>
      <w:r w:rsidR="007A2E2D" w:rsidRPr="00BB03EB">
        <w:rPr>
          <w:rFonts w:eastAsiaTheme="majorEastAsia"/>
        </w:rPr>
        <w:t>Základní škola, Bílina, Za Chlumem 824, okres Teplice, příspěvková organizace</w:t>
      </w:r>
      <w:r w:rsidR="007A2E2D">
        <w:fldChar w:fldCharType="end"/>
      </w:r>
      <w:r w:rsidR="007A2E2D" w:rsidRPr="00BB03EB">
        <w:rPr>
          <w:rFonts w:cs="Arial"/>
          <w:bCs/>
          <w:szCs w:val="20"/>
        </w:rPr>
        <w:t xml:space="preserve"> (IČ 65639618)</w:t>
      </w:r>
    </w:p>
    <w:p w14:paraId="217C4247" w14:textId="7361C2CC" w:rsidR="007A2E2D" w:rsidRPr="00BB03EB" w:rsidRDefault="00FB2267" w:rsidP="007A2E2D">
      <w:pPr>
        <w:tabs>
          <w:tab w:val="num" w:pos="426"/>
          <w:tab w:val="left" w:pos="2127"/>
        </w:tabs>
        <w:spacing w:line="320" w:lineRule="atLeast"/>
        <w:ind w:left="2124"/>
        <w:jc w:val="both"/>
        <w:rPr>
          <w:rFonts w:eastAsiaTheme="majorEastAsia"/>
        </w:rPr>
      </w:pPr>
      <w:hyperlink r:id="rId8" w:history="1">
        <w:r w:rsidR="007A2E2D" w:rsidRPr="00BB03EB">
          <w:rPr>
            <w:rFonts w:eastAsiaTheme="majorEastAsia"/>
          </w:rPr>
          <w:t>Základní škola, Bílina, Aléská 270, okres Teplice, příspěvková organizace</w:t>
        </w:r>
      </w:hyperlink>
      <w:r w:rsidR="007A2E2D" w:rsidRPr="00BB03EB">
        <w:rPr>
          <w:rFonts w:eastAsiaTheme="majorEastAsia"/>
        </w:rPr>
        <w:t xml:space="preserve"> (IČ 65639600)</w:t>
      </w:r>
    </w:p>
    <w:p w14:paraId="1F59B0EE" w14:textId="5154AAE8" w:rsidR="007A2E2D" w:rsidRPr="00BB03EB" w:rsidRDefault="00FB2267" w:rsidP="007A2E2D">
      <w:pPr>
        <w:tabs>
          <w:tab w:val="num" w:pos="426"/>
          <w:tab w:val="left" w:pos="2127"/>
        </w:tabs>
        <w:spacing w:line="320" w:lineRule="atLeast"/>
        <w:ind w:left="2124"/>
        <w:jc w:val="both"/>
        <w:rPr>
          <w:rFonts w:eastAsiaTheme="majorEastAsia"/>
        </w:rPr>
      </w:pPr>
      <w:hyperlink r:id="rId9" w:history="1">
        <w:r w:rsidR="007A2E2D" w:rsidRPr="00BB03EB">
          <w:rPr>
            <w:rFonts w:eastAsiaTheme="majorEastAsia"/>
          </w:rPr>
          <w:t>Základní škola, Bílina, Lidická 31/18, okres Teplice, příspěvková organizace</w:t>
        </w:r>
      </w:hyperlink>
      <w:r w:rsidR="007A2E2D" w:rsidRPr="00BB03EB">
        <w:rPr>
          <w:rFonts w:eastAsiaTheme="majorEastAsia"/>
        </w:rPr>
        <w:t xml:space="preserve"> (IČ 65639626)</w:t>
      </w:r>
    </w:p>
    <w:p w14:paraId="6CBC9DF6" w14:textId="442C2B3E" w:rsidR="007A2E2D" w:rsidRPr="00BB03EB" w:rsidRDefault="007A2E2D" w:rsidP="007A2E2D">
      <w:pPr>
        <w:tabs>
          <w:tab w:val="num" w:pos="426"/>
          <w:tab w:val="left" w:pos="2127"/>
        </w:tabs>
        <w:spacing w:line="320" w:lineRule="atLeast"/>
        <w:ind w:left="2124"/>
        <w:jc w:val="both"/>
        <w:rPr>
          <w:rFonts w:eastAsiaTheme="majorEastAsia"/>
        </w:rPr>
      </w:pPr>
      <w:r w:rsidRPr="00BB03EB">
        <w:rPr>
          <w:rFonts w:eastAsiaTheme="majorEastAsia"/>
        </w:rPr>
        <w:t>Základní umělecká škola Gustava Waltera Bílina, Mírové náměstí 21/16, příspěvková organizace (IČ 63788047)</w:t>
      </w:r>
    </w:p>
    <w:p w14:paraId="45BAC744" w14:textId="1A9E5FF9" w:rsidR="007A2E2D" w:rsidRPr="00BB03EB" w:rsidRDefault="007A2E2D" w:rsidP="007A2E2D">
      <w:pPr>
        <w:tabs>
          <w:tab w:val="num" w:pos="426"/>
          <w:tab w:val="left" w:pos="2127"/>
        </w:tabs>
        <w:spacing w:line="320" w:lineRule="atLeast"/>
        <w:ind w:left="2124"/>
        <w:jc w:val="both"/>
        <w:rPr>
          <w:rFonts w:eastAsiaTheme="majorEastAsia"/>
        </w:rPr>
      </w:pPr>
      <w:r w:rsidRPr="00BB03EB">
        <w:rPr>
          <w:rFonts w:eastAsiaTheme="majorEastAsia"/>
        </w:rPr>
        <w:t>Mateřská škola Bílina, Čapkova 869, příspěvková organizace (IČ 63788241)</w:t>
      </w:r>
    </w:p>
    <w:p w14:paraId="3B54C6B2" w14:textId="57CE01F5" w:rsidR="007A2E2D" w:rsidRPr="00BB03EB" w:rsidRDefault="00FB2267" w:rsidP="007A2E2D">
      <w:pPr>
        <w:tabs>
          <w:tab w:val="num" w:pos="426"/>
          <w:tab w:val="left" w:pos="2127"/>
        </w:tabs>
        <w:spacing w:line="320" w:lineRule="atLeast"/>
        <w:ind w:left="2124"/>
        <w:jc w:val="both"/>
        <w:rPr>
          <w:rFonts w:eastAsiaTheme="majorEastAsia"/>
        </w:rPr>
      </w:pPr>
      <w:hyperlink r:id="rId10" w:history="1">
        <w:r w:rsidR="007A2E2D" w:rsidRPr="00BB03EB">
          <w:rPr>
            <w:rFonts w:eastAsiaTheme="majorEastAsia"/>
          </w:rPr>
          <w:t>Mateřská škola Bílina, Maxe Švabinského 664, příspěvková organizace</w:t>
        </w:r>
      </w:hyperlink>
      <w:r w:rsidR="007A2E2D" w:rsidRPr="00BB03EB">
        <w:rPr>
          <w:rFonts w:eastAsiaTheme="majorEastAsia"/>
        </w:rPr>
        <w:t xml:space="preserve"> (IČ 70200467)</w:t>
      </w:r>
    </w:p>
    <w:p w14:paraId="58BBB9B8" w14:textId="7B778E1E" w:rsidR="007A2E2D" w:rsidRPr="00BB03EB" w:rsidRDefault="00FB2267" w:rsidP="007A2E2D">
      <w:pPr>
        <w:tabs>
          <w:tab w:val="num" w:pos="426"/>
          <w:tab w:val="left" w:pos="2127"/>
        </w:tabs>
        <w:spacing w:line="320" w:lineRule="atLeast"/>
        <w:ind w:left="2124"/>
        <w:jc w:val="both"/>
        <w:rPr>
          <w:rFonts w:eastAsiaTheme="majorEastAsia"/>
        </w:rPr>
      </w:pPr>
      <w:hyperlink r:id="rId11" w:history="1">
        <w:r w:rsidR="007A2E2D" w:rsidRPr="00BB03EB">
          <w:rPr>
            <w:rFonts w:eastAsiaTheme="majorEastAsia"/>
          </w:rPr>
          <w:t>Mateřská škola Bílina, Síbova 332, příspěvková organizace</w:t>
        </w:r>
      </w:hyperlink>
      <w:r w:rsidR="007A2E2D" w:rsidRPr="00BB03EB">
        <w:rPr>
          <w:rFonts w:eastAsiaTheme="majorEastAsia"/>
        </w:rPr>
        <w:t xml:space="preserve"> (IČ 63788179)</w:t>
      </w:r>
    </w:p>
    <w:p w14:paraId="059ADC6E" w14:textId="12E9FB44" w:rsidR="007A2E2D" w:rsidRPr="00BB03EB" w:rsidRDefault="00FB2267" w:rsidP="007A2E2D">
      <w:pPr>
        <w:tabs>
          <w:tab w:val="num" w:pos="426"/>
          <w:tab w:val="left" w:pos="2127"/>
        </w:tabs>
        <w:spacing w:line="320" w:lineRule="atLeast"/>
        <w:ind w:left="2124"/>
        <w:jc w:val="both"/>
        <w:rPr>
          <w:rFonts w:eastAsiaTheme="majorEastAsia"/>
        </w:rPr>
      </w:pPr>
      <w:hyperlink r:id="rId12" w:history="1">
        <w:r w:rsidR="007A2E2D" w:rsidRPr="00BB03EB">
          <w:rPr>
            <w:rFonts w:eastAsiaTheme="majorEastAsia"/>
          </w:rPr>
          <w:t>Centrální školní jídelna Bílina, Nábřeží 381, příspěvková organizace</w:t>
        </w:r>
      </w:hyperlink>
      <w:r w:rsidR="007A2E2D" w:rsidRPr="00BB03EB">
        <w:rPr>
          <w:rFonts w:eastAsiaTheme="majorEastAsia"/>
        </w:rPr>
        <w:t xml:space="preserve"> </w:t>
      </w:r>
      <w:r w:rsidR="006A0734" w:rsidRPr="00BB03EB">
        <w:rPr>
          <w:rFonts w:eastAsiaTheme="majorEastAsia"/>
        </w:rPr>
        <w:t>(IČ 70226300)</w:t>
      </w:r>
    </w:p>
    <w:p w14:paraId="6F797CEF" w14:textId="05238B8A" w:rsidR="006A0734" w:rsidRPr="00BB03EB" w:rsidRDefault="00FB2267" w:rsidP="006A0734">
      <w:pPr>
        <w:tabs>
          <w:tab w:val="num" w:pos="426"/>
          <w:tab w:val="left" w:pos="2127"/>
        </w:tabs>
        <w:spacing w:line="320" w:lineRule="atLeast"/>
        <w:ind w:left="2124"/>
        <w:jc w:val="both"/>
        <w:rPr>
          <w:rFonts w:eastAsiaTheme="majorEastAsia"/>
        </w:rPr>
      </w:pPr>
      <w:hyperlink r:id="rId13" w:history="1">
        <w:r w:rsidR="006A0734" w:rsidRPr="00BB03EB">
          <w:rPr>
            <w:rFonts w:eastAsiaTheme="majorEastAsia"/>
          </w:rPr>
          <w:t>Dům dětí a mládeže Bílina, Havířská 529/10, příspěvková organizace</w:t>
        </w:r>
      </w:hyperlink>
      <w:r w:rsidR="006A0734" w:rsidRPr="00BB03EB">
        <w:rPr>
          <w:rFonts w:eastAsiaTheme="majorEastAsia"/>
        </w:rPr>
        <w:t xml:space="preserve"> (IČ 47767057)</w:t>
      </w:r>
    </w:p>
    <w:p w14:paraId="6C5FA633" w14:textId="601A0597" w:rsidR="006A0734" w:rsidRPr="00BB03EB" w:rsidRDefault="00FB2267" w:rsidP="006A0734">
      <w:pPr>
        <w:tabs>
          <w:tab w:val="num" w:pos="426"/>
          <w:tab w:val="left" w:pos="2127"/>
        </w:tabs>
        <w:spacing w:line="320" w:lineRule="atLeast"/>
        <w:ind w:left="2124"/>
        <w:jc w:val="both"/>
        <w:rPr>
          <w:rFonts w:eastAsiaTheme="majorEastAsia"/>
        </w:rPr>
      </w:pPr>
      <w:hyperlink r:id="rId14" w:history="1">
        <w:r w:rsidR="006A0734" w:rsidRPr="00BB03EB">
          <w:rPr>
            <w:rFonts w:eastAsiaTheme="majorEastAsia"/>
          </w:rPr>
          <w:t>Městské technické služby Bílina, Teplická 899, příspěvková organizace</w:t>
        </w:r>
      </w:hyperlink>
      <w:r w:rsidR="006A0734" w:rsidRPr="00BB03EB">
        <w:rPr>
          <w:rFonts w:eastAsiaTheme="majorEastAsia"/>
        </w:rPr>
        <w:t xml:space="preserve"> (IČ 70885222)</w:t>
      </w:r>
    </w:p>
    <w:bookmarkEnd w:id="1"/>
    <w:p w14:paraId="6501D65E" w14:textId="77777777" w:rsidR="002E4519" w:rsidRPr="00BB03EB" w:rsidRDefault="002E4519" w:rsidP="005F57BB">
      <w:pPr>
        <w:tabs>
          <w:tab w:val="num" w:pos="426"/>
          <w:tab w:val="left" w:pos="2127"/>
        </w:tabs>
        <w:spacing w:line="320" w:lineRule="atLeast"/>
        <w:jc w:val="both"/>
      </w:pPr>
    </w:p>
    <w:p w14:paraId="1BA5E316" w14:textId="2C4F0A2D" w:rsidR="002E4519" w:rsidRPr="00BB03EB" w:rsidRDefault="002E4519" w:rsidP="00BA1B43">
      <w:pPr>
        <w:tabs>
          <w:tab w:val="num" w:pos="426"/>
          <w:tab w:val="left" w:pos="2127"/>
        </w:tabs>
        <w:spacing w:line="320" w:lineRule="atLeast"/>
        <w:ind w:left="2124" w:hanging="2124"/>
        <w:jc w:val="both"/>
      </w:pPr>
      <w:r w:rsidRPr="00BB03EB">
        <w:rPr>
          <w:rFonts w:cs="Arial"/>
          <w:b/>
          <w:bCs/>
          <w:szCs w:val="20"/>
        </w:rPr>
        <w:t>Územní rozsah:</w:t>
      </w:r>
      <w:r w:rsidRPr="00BB03EB">
        <w:rPr>
          <w:rFonts w:cs="Arial"/>
          <w:b/>
          <w:bCs/>
          <w:szCs w:val="20"/>
        </w:rPr>
        <w:tab/>
      </w:r>
      <w:r w:rsidR="00D72DF2">
        <w:t>Evropa</w:t>
      </w:r>
    </w:p>
    <w:p w14:paraId="5EF15979" w14:textId="0F20D70A" w:rsidR="002E4519" w:rsidRPr="00BB03EB" w:rsidRDefault="002E4519" w:rsidP="002E4519">
      <w:pPr>
        <w:tabs>
          <w:tab w:val="num" w:pos="426"/>
          <w:tab w:val="left" w:pos="2127"/>
        </w:tabs>
        <w:spacing w:line="320" w:lineRule="atLeast"/>
        <w:ind w:left="2124" w:hanging="2124"/>
        <w:jc w:val="both"/>
      </w:pPr>
      <w:r w:rsidRPr="00BB03EB">
        <w:rPr>
          <w:rFonts w:cs="Arial"/>
          <w:b/>
          <w:bCs/>
          <w:szCs w:val="20"/>
        </w:rPr>
        <w:t>Počet obyvatel:</w:t>
      </w:r>
      <w:r w:rsidRPr="00BB03EB">
        <w:rPr>
          <w:rFonts w:cs="Arial"/>
          <w:b/>
          <w:bCs/>
          <w:szCs w:val="20"/>
        </w:rPr>
        <w:tab/>
      </w:r>
      <w:r w:rsidRPr="00BB03EB">
        <w:rPr>
          <w:rFonts w:cs="Arial"/>
          <w:szCs w:val="20"/>
        </w:rPr>
        <w:t>14</w:t>
      </w:r>
      <w:r w:rsidR="00F0791D">
        <w:rPr>
          <w:rFonts w:cs="Arial"/>
          <w:szCs w:val="20"/>
        </w:rPr>
        <w:t> </w:t>
      </w:r>
      <w:r w:rsidRPr="00BB03EB">
        <w:rPr>
          <w:rFonts w:cs="Arial"/>
          <w:szCs w:val="20"/>
        </w:rPr>
        <w:t>497</w:t>
      </w:r>
    </w:p>
    <w:p w14:paraId="7CC941B1" w14:textId="016726A6" w:rsidR="002E4519" w:rsidRPr="003836D8" w:rsidRDefault="00BC5B97" w:rsidP="00BC5B97">
      <w:pPr>
        <w:spacing w:line="320" w:lineRule="atLeast"/>
        <w:jc w:val="both"/>
        <w:rPr>
          <w:rFonts w:cs="Arial"/>
        </w:rPr>
      </w:pPr>
      <w:r w:rsidRPr="00BA1B43">
        <w:rPr>
          <w:rFonts w:cs="Arial"/>
          <w:b/>
          <w:bCs/>
        </w:rPr>
        <w:t>Počet žáků</w:t>
      </w:r>
      <w:r w:rsidRPr="003836D8">
        <w:rPr>
          <w:rFonts w:cs="Arial"/>
        </w:rPr>
        <w:t xml:space="preserve">: MŠ </w:t>
      </w:r>
      <w:r w:rsidR="00D56A93" w:rsidRPr="003836D8">
        <w:rPr>
          <w:rFonts w:cs="Arial"/>
        </w:rPr>
        <w:t>- 430</w:t>
      </w:r>
      <w:r w:rsidRPr="003836D8">
        <w:rPr>
          <w:rFonts w:cs="Arial"/>
        </w:rPr>
        <w:t>; ZŠ – 1481</w:t>
      </w:r>
    </w:p>
    <w:p w14:paraId="3B27D062" w14:textId="77777777" w:rsidR="00F0791D" w:rsidRPr="00592A27" w:rsidRDefault="00F0791D" w:rsidP="00F0791D">
      <w:pPr>
        <w:pStyle w:val="Zkladntext"/>
        <w:rPr>
          <w:rFonts w:ascii="Arial" w:hAnsi="Arial" w:cs="Arial"/>
          <w:b/>
        </w:rPr>
      </w:pPr>
      <w:r w:rsidRPr="00592A27">
        <w:rPr>
          <w:rFonts w:ascii="Arial" w:hAnsi="Arial" w:cs="Arial"/>
          <w:b/>
        </w:rPr>
        <w:t>Předmět činnosti:</w:t>
      </w:r>
    </w:p>
    <w:p w14:paraId="0172255C" w14:textId="77777777" w:rsidR="00F0791D" w:rsidRPr="00592A27" w:rsidRDefault="00F0791D" w:rsidP="00F0791D">
      <w:pPr>
        <w:spacing w:line="298" w:lineRule="auto"/>
        <w:jc w:val="both"/>
        <w:rPr>
          <w:rFonts w:cs="Arial"/>
        </w:rPr>
      </w:pPr>
      <w:r w:rsidRPr="00592A27">
        <w:rPr>
          <w:rFonts w:cs="Arial"/>
        </w:rPr>
        <w:t xml:space="preserve">Pojištění se sjednává pro případ povinnosti pojištěného nahradit škodu či újmu vzniklou jinému v souvislosti s činností obce/kraje/městské části dle zákona č. 128/2000 Sb., o obcích/ 129/2000Sb., </w:t>
      </w:r>
      <w:r w:rsidRPr="00592A27">
        <w:rPr>
          <w:rFonts w:cs="Arial"/>
        </w:rPr>
        <w:br/>
        <w:t>o krajích/ 131/2000Sb., o hlavním městě Praze (ve znění pozdějších předpisů) nebo škodu či újmu vzniklou jinému při výkonu veřejné moci rozhodnutím nebo nesprávným úředním postupem ve smyslu zákona č. 82/1998 Sb., o odpovědnosti za škodu způsobenou při výkonu veřejné moci rozhodnutím nebo nesprávným úředním postupem, ve znění pozdějších předpisů. Pojištění se dále vztahuje i na povinnost pojištěného jako zřizovatele obecní policie nahradit škodu či újmu.</w:t>
      </w:r>
    </w:p>
    <w:p w14:paraId="130FE12A" w14:textId="77777777" w:rsidR="00F0791D" w:rsidRPr="00592A27" w:rsidRDefault="00F0791D" w:rsidP="00F0791D">
      <w:pPr>
        <w:spacing w:line="298" w:lineRule="auto"/>
        <w:jc w:val="both"/>
        <w:rPr>
          <w:rFonts w:cs="Arial"/>
        </w:rPr>
      </w:pPr>
      <w:r w:rsidRPr="00592A27">
        <w:rPr>
          <w:rFonts w:cs="Arial"/>
        </w:rPr>
        <w:t>Pojištění se dále vztahuje:</w:t>
      </w:r>
    </w:p>
    <w:p w14:paraId="633DB836" w14:textId="77777777" w:rsidR="00F0791D" w:rsidRPr="00592A27" w:rsidRDefault="00F0791D" w:rsidP="00F0791D">
      <w:pPr>
        <w:pStyle w:val="Odstavecseseznamem"/>
        <w:numPr>
          <w:ilvl w:val="0"/>
          <w:numId w:val="23"/>
        </w:numPr>
        <w:spacing w:line="298" w:lineRule="auto"/>
        <w:ind w:left="714" w:hanging="357"/>
        <w:jc w:val="both"/>
        <w:rPr>
          <w:rFonts w:cs="Arial"/>
        </w:rPr>
      </w:pPr>
      <w:r w:rsidRPr="00592A27">
        <w:rPr>
          <w:rFonts w:cs="Arial"/>
        </w:rPr>
        <w:t>na odpovědnost města jako provozovatele vodovodů a kanalizace.</w:t>
      </w:r>
    </w:p>
    <w:p w14:paraId="51D0DE8C" w14:textId="77777777" w:rsidR="00F0791D" w:rsidRPr="00592A27" w:rsidRDefault="00F0791D" w:rsidP="00F0791D">
      <w:pPr>
        <w:pStyle w:val="Odstavecseseznamem"/>
        <w:numPr>
          <w:ilvl w:val="0"/>
          <w:numId w:val="23"/>
        </w:numPr>
        <w:spacing w:line="298" w:lineRule="auto"/>
        <w:ind w:left="714" w:hanging="357"/>
        <w:jc w:val="both"/>
        <w:rPr>
          <w:rFonts w:cs="Arial"/>
        </w:rPr>
      </w:pPr>
      <w:r w:rsidRPr="00592A27">
        <w:rPr>
          <w:rFonts w:cs="Arial"/>
        </w:rPr>
        <w:t>na odpovědnost města jako zřizovatele základních škol bez právní subjektivity, městské policie a hasičského sboru.</w:t>
      </w:r>
    </w:p>
    <w:p w14:paraId="54F68ACF" w14:textId="77777777" w:rsidR="00F0791D" w:rsidRPr="00592A27" w:rsidRDefault="00F0791D" w:rsidP="00F0791D">
      <w:pPr>
        <w:pStyle w:val="Odstavecseseznamem"/>
        <w:numPr>
          <w:ilvl w:val="0"/>
          <w:numId w:val="23"/>
        </w:numPr>
        <w:spacing w:line="298" w:lineRule="auto"/>
        <w:ind w:left="714" w:hanging="357"/>
        <w:jc w:val="both"/>
        <w:rPr>
          <w:rFonts w:cs="Arial"/>
        </w:rPr>
      </w:pPr>
      <w:r w:rsidRPr="00592A27">
        <w:rPr>
          <w:rFonts w:cs="Arial"/>
        </w:rPr>
        <w:t>pro případ odpovědnosti za škodu vzniklou jinému v souvislosti s provozováním dětských hřišť.</w:t>
      </w:r>
    </w:p>
    <w:p w14:paraId="11B72C36" w14:textId="77777777" w:rsidR="00F0791D" w:rsidRDefault="00F0791D" w:rsidP="00D411B9">
      <w:pPr>
        <w:spacing w:line="320" w:lineRule="atLeast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0D8437B6" w14:textId="77777777" w:rsidR="00F0791D" w:rsidRPr="00592A27" w:rsidRDefault="00F0791D" w:rsidP="00F0791D">
      <w:pPr>
        <w:spacing w:line="298" w:lineRule="auto"/>
        <w:jc w:val="both"/>
        <w:rPr>
          <w:rFonts w:cs="Arial"/>
        </w:rPr>
      </w:pPr>
      <w:r w:rsidRPr="00592A27">
        <w:rPr>
          <w:rFonts w:cs="Arial"/>
        </w:rPr>
        <w:t>Ujednává se, že pojišťovna nebude uplatňovat přechod práv, která by na ni případně přešla ve smyslu</w:t>
      </w:r>
    </w:p>
    <w:p w14:paraId="2459ED67" w14:textId="77777777" w:rsidR="00F0791D" w:rsidRPr="00592A27" w:rsidRDefault="00F0791D" w:rsidP="00F0791D">
      <w:pPr>
        <w:spacing w:line="298" w:lineRule="auto"/>
        <w:jc w:val="both"/>
        <w:rPr>
          <w:rFonts w:cs="Arial"/>
        </w:rPr>
      </w:pPr>
      <w:r w:rsidRPr="00592A27">
        <w:rPr>
          <w:rFonts w:cs="Arial"/>
        </w:rPr>
        <w:t>ustanovení § 2820 zákoníku, proti starostovi (primátorovi, hejtmanovi) nebo členům zastupitelstva územního samosprávného celku v souvislosti se škodou či újmou při ublížení na zdraví nebo usmrcení vzniklou při výkonu veřejné funkce těmito osobami.</w:t>
      </w:r>
    </w:p>
    <w:p w14:paraId="5B84B798" w14:textId="77777777" w:rsidR="00F0791D" w:rsidRPr="00BB03EB" w:rsidRDefault="00F0791D" w:rsidP="00D411B9">
      <w:pPr>
        <w:spacing w:line="320" w:lineRule="atLeast"/>
        <w:jc w:val="both"/>
        <w:rPr>
          <w:rFonts w:ascii="Verdana" w:hAnsi="Verdana" w:cs="Arial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X="-356" w:tblpY="66"/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1"/>
        <w:gridCol w:w="1842"/>
        <w:gridCol w:w="1858"/>
      </w:tblGrid>
      <w:tr w:rsidR="00BB03EB" w:rsidRPr="00BB03EB" w14:paraId="1A3987EF" w14:textId="77777777" w:rsidTr="00BB03EB">
        <w:trPr>
          <w:trHeight w:val="794"/>
        </w:trPr>
        <w:tc>
          <w:tcPr>
            <w:tcW w:w="6081" w:type="dxa"/>
            <w:shd w:val="clear" w:color="auto" w:fill="808080" w:themeFill="background1" w:themeFillShade="80"/>
            <w:vAlign w:val="center"/>
          </w:tcPr>
          <w:p w14:paraId="56EE2BA0" w14:textId="77777777" w:rsidR="00D411B9" w:rsidRPr="00BB03EB" w:rsidRDefault="00D411B9" w:rsidP="00B1170C">
            <w:pPr>
              <w:spacing w:line="320" w:lineRule="atLeast"/>
              <w:jc w:val="center"/>
              <w:rPr>
                <w:rFonts w:cs="Arial"/>
                <w:b/>
                <w:bCs/>
              </w:rPr>
            </w:pPr>
            <w:r w:rsidRPr="00BB03EB">
              <w:rPr>
                <w:rFonts w:cs="Arial"/>
                <w:b/>
                <w:bCs/>
              </w:rPr>
              <w:t>Předmět pojištění</w:t>
            </w:r>
          </w:p>
        </w:tc>
        <w:tc>
          <w:tcPr>
            <w:tcW w:w="1842" w:type="dxa"/>
            <w:shd w:val="clear" w:color="auto" w:fill="808080" w:themeFill="background1" w:themeFillShade="80"/>
            <w:vAlign w:val="center"/>
          </w:tcPr>
          <w:p w14:paraId="0A0C7DD5" w14:textId="77777777" w:rsidR="00D411B9" w:rsidRPr="00BB03EB" w:rsidRDefault="00D411B9" w:rsidP="00B1170C">
            <w:pPr>
              <w:spacing w:line="320" w:lineRule="atLeast"/>
              <w:jc w:val="center"/>
              <w:rPr>
                <w:rFonts w:cs="Arial"/>
                <w:b/>
                <w:bCs/>
              </w:rPr>
            </w:pPr>
            <w:r w:rsidRPr="00BB03EB">
              <w:rPr>
                <w:rFonts w:cs="Arial"/>
                <w:b/>
                <w:bCs/>
              </w:rPr>
              <w:t>Limit plnění</w:t>
            </w:r>
          </w:p>
          <w:p w14:paraId="1C440CA7" w14:textId="77777777" w:rsidR="00D411B9" w:rsidRPr="00BB03EB" w:rsidRDefault="00D411B9" w:rsidP="00B1170C">
            <w:pPr>
              <w:spacing w:line="320" w:lineRule="atLeast"/>
              <w:jc w:val="center"/>
              <w:rPr>
                <w:rFonts w:cs="Arial"/>
                <w:b/>
                <w:bCs/>
              </w:rPr>
            </w:pPr>
            <w:r w:rsidRPr="00BB03EB">
              <w:rPr>
                <w:rFonts w:cs="Arial"/>
                <w:b/>
                <w:bCs/>
              </w:rPr>
              <w:t>(v Kč)</w:t>
            </w:r>
          </w:p>
        </w:tc>
        <w:tc>
          <w:tcPr>
            <w:tcW w:w="1858" w:type="dxa"/>
            <w:shd w:val="clear" w:color="auto" w:fill="808080" w:themeFill="background1" w:themeFillShade="80"/>
            <w:vAlign w:val="center"/>
          </w:tcPr>
          <w:p w14:paraId="79A625F3" w14:textId="77777777" w:rsidR="00D411B9" w:rsidRPr="00BB03EB" w:rsidRDefault="00D411B9" w:rsidP="00B1170C">
            <w:pPr>
              <w:spacing w:line="320" w:lineRule="atLeast"/>
              <w:jc w:val="center"/>
              <w:rPr>
                <w:rFonts w:cs="Arial"/>
                <w:b/>
                <w:bCs/>
              </w:rPr>
            </w:pPr>
            <w:r w:rsidRPr="00BB03EB">
              <w:rPr>
                <w:rFonts w:cs="Arial"/>
                <w:b/>
                <w:bCs/>
              </w:rPr>
              <w:t>Spoluúčast</w:t>
            </w:r>
          </w:p>
          <w:p w14:paraId="760ADFD3" w14:textId="77777777" w:rsidR="00D411B9" w:rsidRPr="00BB03EB" w:rsidRDefault="00D411B9" w:rsidP="00B1170C">
            <w:pPr>
              <w:spacing w:line="320" w:lineRule="atLeast"/>
              <w:jc w:val="center"/>
              <w:rPr>
                <w:rFonts w:cs="Arial"/>
                <w:b/>
                <w:bCs/>
              </w:rPr>
            </w:pPr>
            <w:r w:rsidRPr="00BB03EB">
              <w:rPr>
                <w:rFonts w:cs="Arial"/>
                <w:b/>
                <w:bCs/>
              </w:rPr>
              <w:t>(v Kč)</w:t>
            </w:r>
          </w:p>
        </w:tc>
      </w:tr>
      <w:tr w:rsidR="00BB03EB" w:rsidRPr="00BB03EB" w14:paraId="41DAEA5D" w14:textId="77777777" w:rsidTr="00B1170C">
        <w:trPr>
          <w:trHeight w:val="397"/>
        </w:trPr>
        <w:tc>
          <w:tcPr>
            <w:tcW w:w="9781" w:type="dxa"/>
            <w:gridSpan w:val="3"/>
            <w:shd w:val="clear" w:color="auto" w:fill="D9D9D9"/>
            <w:vAlign w:val="center"/>
          </w:tcPr>
          <w:p w14:paraId="7F3D6F56" w14:textId="6ADF7953" w:rsidR="00D411B9" w:rsidRDefault="00BC5B97" w:rsidP="00D411B9">
            <w:pPr>
              <w:pStyle w:val="Odstavecseseznamem"/>
              <w:numPr>
                <w:ilvl w:val="0"/>
                <w:numId w:val="25"/>
              </w:numPr>
              <w:spacing w:after="120" w:line="320" w:lineRule="atLeast"/>
              <w:ind w:left="714" w:hanging="357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Princip pojištění – Loss Occur</w:t>
            </w:r>
            <w:r w:rsidR="00E57B96">
              <w:rPr>
                <w:rFonts w:cs="Arial"/>
                <w:szCs w:val="20"/>
              </w:rPr>
              <w:t>e</w:t>
            </w:r>
            <w:r>
              <w:rPr>
                <w:rFonts w:cs="Arial"/>
                <w:szCs w:val="20"/>
              </w:rPr>
              <w:t>nce</w:t>
            </w:r>
          </w:p>
          <w:p w14:paraId="7849CA18" w14:textId="5CB64A7A" w:rsidR="00DD0F18" w:rsidRPr="00BB03EB" w:rsidRDefault="00DD0F18" w:rsidP="00D411B9">
            <w:pPr>
              <w:pStyle w:val="Odstavecseseznamem"/>
              <w:numPr>
                <w:ilvl w:val="0"/>
                <w:numId w:val="25"/>
              </w:numPr>
              <w:spacing w:after="120" w:line="320" w:lineRule="atLeast"/>
              <w:ind w:left="714" w:hanging="357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 případně principu pojištění Claims made </w:t>
            </w:r>
            <w:r w:rsidR="00E57B96">
              <w:rPr>
                <w:rFonts w:cs="Arial"/>
                <w:szCs w:val="20"/>
              </w:rPr>
              <w:t>pojištění</w:t>
            </w:r>
            <w:r w:rsidR="001B45C3">
              <w:rPr>
                <w:rFonts w:cs="Arial"/>
                <w:szCs w:val="20"/>
              </w:rPr>
              <w:t xml:space="preserve"> </w:t>
            </w:r>
            <w:r w:rsidR="0005731F">
              <w:rPr>
                <w:rFonts w:cs="Arial"/>
                <w:szCs w:val="20"/>
              </w:rPr>
              <w:t>odpovědnosti</w:t>
            </w:r>
            <w:r w:rsidR="001B45C3">
              <w:rPr>
                <w:rFonts w:cs="Arial"/>
                <w:szCs w:val="20"/>
              </w:rPr>
              <w:t xml:space="preserve"> zastupitelů</w:t>
            </w:r>
            <w:r w:rsidR="00D10D9F">
              <w:rPr>
                <w:rFonts w:cs="Arial"/>
                <w:szCs w:val="20"/>
              </w:rPr>
              <w:t xml:space="preserve"> nebo v případě zákona 108/2006 sb</w:t>
            </w:r>
            <w:r w:rsidR="00720644">
              <w:rPr>
                <w:rFonts w:cs="Arial"/>
                <w:szCs w:val="20"/>
              </w:rPr>
              <w:t>.</w:t>
            </w:r>
            <w:r w:rsidR="00D10D9F">
              <w:rPr>
                <w:rFonts w:cs="Arial"/>
                <w:szCs w:val="20"/>
              </w:rPr>
              <w:t xml:space="preserve"> Zákona o sociálních službách </w:t>
            </w:r>
            <w:r w:rsidR="00720644">
              <w:rPr>
                <w:rFonts w:cs="Arial"/>
                <w:szCs w:val="20"/>
              </w:rPr>
              <w:t>se ujednává retroaktivní krytí v délce 10 let, pokud není níže uvedeno jinak</w:t>
            </w:r>
          </w:p>
        </w:tc>
      </w:tr>
      <w:tr w:rsidR="00BB03EB" w:rsidRPr="00BB03EB" w14:paraId="2ABD7DE8" w14:textId="77777777" w:rsidTr="000B5A4E">
        <w:trPr>
          <w:trHeight w:val="737"/>
        </w:trPr>
        <w:tc>
          <w:tcPr>
            <w:tcW w:w="6081" w:type="dxa"/>
            <w:vAlign w:val="center"/>
          </w:tcPr>
          <w:p w14:paraId="065DBE24" w14:textId="7FA74B8C" w:rsidR="00D411B9" w:rsidRPr="00BB03EB" w:rsidRDefault="00D411B9" w:rsidP="00D411B9">
            <w:pPr>
              <w:spacing w:line="320" w:lineRule="atLeast"/>
              <w:rPr>
                <w:rFonts w:ascii="Verdana" w:hAnsi="Verdana" w:cs="Arial"/>
                <w:highlight w:val="yellow"/>
              </w:rPr>
            </w:pPr>
            <w:r w:rsidRPr="00BB03EB">
              <w:rPr>
                <w:rFonts w:cs="Arial"/>
              </w:rPr>
              <w:t xml:space="preserve">Základní </w:t>
            </w:r>
            <w:r w:rsidR="0005731F" w:rsidRPr="00BB03EB">
              <w:rPr>
                <w:rFonts w:cs="Arial"/>
              </w:rPr>
              <w:t>rozsah</w:t>
            </w:r>
            <w:r w:rsidR="003F14DE">
              <w:rPr>
                <w:rFonts w:cs="Arial"/>
              </w:rPr>
              <w:t xml:space="preserve"> vč. odpovědnosti za vadný výrobek</w:t>
            </w:r>
          </w:p>
        </w:tc>
        <w:tc>
          <w:tcPr>
            <w:tcW w:w="1842" w:type="dxa"/>
            <w:vAlign w:val="center"/>
          </w:tcPr>
          <w:p w14:paraId="17AC192F" w14:textId="1C560B05" w:rsidR="00D411B9" w:rsidRPr="00BB03EB" w:rsidRDefault="00D83E7B" w:rsidP="00D411B9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</w:t>
            </w:r>
            <w:r w:rsidR="00D411B9" w:rsidRPr="00BB03EB">
              <w:rPr>
                <w:rFonts w:cs="Arial"/>
                <w:szCs w:val="20"/>
              </w:rPr>
              <w:t>.000.000</w:t>
            </w:r>
          </w:p>
        </w:tc>
        <w:tc>
          <w:tcPr>
            <w:tcW w:w="1858" w:type="dxa"/>
            <w:noWrap/>
            <w:vAlign w:val="center"/>
          </w:tcPr>
          <w:p w14:paraId="683472D0" w14:textId="77777777" w:rsidR="00D411B9" w:rsidRPr="00BB03EB" w:rsidRDefault="00D411B9" w:rsidP="00D411B9">
            <w:pPr>
              <w:spacing w:line="24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</w:rPr>
              <w:t>5.000</w:t>
            </w:r>
          </w:p>
          <w:p w14:paraId="404ED13A" w14:textId="3F2596AA" w:rsidR="00D411B9" w:rsidRPr="00BB03EB" w:rsidRDefault="00D411B9" w:rsidP="00D411B9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</w:rPr>
              <w:t>pro školská zařízení 1.000</w:t>
            </w:r>
          </w:p>
        </w:tc>
      </w:tr>
      <w:tr w:rsidR="00BB03EB" w:rsidRPr="00BB03EB" w14:paraId="2BDA07E6" w14:textId="77777777" w:rsidTr="001B0E1A">
        <w:trPr>
          <w:trHeight w:val="737"/>
        </w:trPr>
        <w:tc>
          <w:tcPr>
            <w:tcW w:w="9781" w:type="dxa"/>
            <w:gridSpan w:val="3"/>
            <w:vAlign w:val="center"/>
          </w:tcPr>
          <w:p w14:paraId="23FFEAA8" w14:textId="6671CE73" w:rsidR="00D411B9" w:rsidRPr="00BB03EB" w:rsidRDefault="00D411B9" w:rsidP="00D411B9">
            <w:pPr>
              <w:spacing w:line="320" w:lineRule="atLeast"/>
              <w:ind w:right="170"/>
              <w:rPr>
                <w:rFonts w:cs="Arial"/>
              </w:rPr>
            </w:pPr>
            <w:r w:rsidRPr="00BB03EB">
              <w:rPr>
                <w:rFonts w:cs="Arial"/>
                <w:b/>
                <w:bCs/>
              </w:rPr>
              <w:t>Sublimity</w:t>
            </w:r>
          </w:p>
        </w:tc>
      </w:tr>
      <w:tr w:rsidR="00BB03EB" w:rsidRPr="00BB03EB" w14:paraId="7D0030D3" w14:textId="77777777" w:rsidTr="000B5A4E">
        <w:trPr>
          <w:trHeight w:val="737"/>
        </w:trPr>
        <w:tc>
          <w:tcPr>
            <w:tcW w:w="6081" w:type="dxa"/>
            <w:vAlign w:val="center"/>
          </w:tcPr>
          <w:p w14:paraId="5E105FCF" w14:textId="0D702D28" w:rsidR="00D411B9" w:rsidRPr="00BB03EB" w:rsidRDefault="005A07D1" w:rsidP="00D411B9">
            <w:pPr>
              <w:spacing w:line="320" w:lineRule="atLeast"/>
              <w:rPr>
                <w:rFonts w:cs="Arial"/>
                <w:highlight w:val="yellow"/>
              </w:rPr>
            </w:pPr>
            <w:r w:rsidRPr="00BB03EB">
              <w:rPr>
                <w:rFonts w:cs="Arial"/>
              </w:rPr>
              <w:t>Regresy zdrav. a nemoc. Pojištění</w:t>
            </w:r>
            <w:r>
              <w:rPr>
                <w:rFonts w:cs="Arial"/>
              </w:rPr>
              <w:t xml:space="preserve"> </w:t>
            </w:r>
            <w:r w:rsidR="00D72DF2">
              <w:rPr>
                <w:rFonts w:cs="Arial"/>
              </w:rPr>
              <w:t>–</w:t>
            </w:r>
            <w:r>
              <w:rPr>
                <w:rFonts w:cs="Arial"/>
              </w:rPr>
              <w:t xml:space="preserve"> zaměstnanci</w:t>
            </w:r>
            <w:r w:rsidR="00D72DF2">
              <w:rPr>
                <w:rFonts w:cs="Arial"/>
              </w:rPr>
              <w:t xml:space="preserve">, vůči třetím osobám je zahrnuto v základním limitu pojistného </w:t>
            </w:r>
            <w:r w:rsidR="00AE2058">
              <w:rPr>
                <w:rFonts w:cs="Arial"/>
              </w:rPr>
              <w:t>plnění</w:t>
            </w:r>
          </w:p>
        </w:tc>
        <w:tc>
          <w:tcPr>
            <w:tcW w:w="1842" w:type="dxa"/>
            <w:vAlign w:val="center"/>
          </w:tcPr>
          <w:p w14:paraId="35386FAD" w14:textId="2752D933" w:rsidR="00D411B9" w:rsidRPr="00BB03EB" w:rsidRDefault="005A07D1" w:rsidP="00D411B9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BB03EB">
              <w:rPr>
                <w:rFonts w:cs="Arial"/>
                <w:szCs w:val="20"/>
              </w:rPr>
              <w:t>7.500.000</w:t>
            </w:r>
          </w:p>
        </w:tc>
        <w:tc>
          <w:tcPr>
            <w:tcW w:w="1858" w:type="dxa"/>
            <w:vMerge w:val="restart"/>
            <w:noWrap/>
            <w:vAlign w:val="center"/>
          </w:tcPr>
          <w:p w14:paraId="2B17D25E" w14:textId="77777777" w:rsidR="00D411B9" w:rsidRPr="00BB03EB" w:rsidRDefault="00D411B9" w:rsidP="00D411B9">
            <w:pPr>
              <w:spacing w:line="24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</w:rPr>
              <w:t>5.000</w:t>
            </w:r>
          </w:p>
          <w:p w14:paraId="512113C4" w14:textId="15CBD871" w:rsidR="00D411B9" w:rsidRPr="00BB03EB" w:rsidRDefault="00D411B9" w:rsidP="00D411B9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</w:rPr>
              <w:t xml:space="preserve">pro školská zařízení </w:t>
            </w:r>
            <w:r w:rsidR="00D83E7B">
              <w:rPr>
                <w:rFonts w:cs="Arial"/>
              </w:rPr>
              <w:t>1.000</w:t>
            </w:r>
          </w:p>
        </w:tc>
      </w:tr>
      <w:tr w:rsidR="00BB03EB" w:rsidRPr="00BB03EB" w14:paraId="61563757" w14:textId="77777777" w:rsidTr="000B5A4E">
        <w:trPr>
          <w:trHeight w:val="737"/>
        </w:trPr>
        <w:tc>
          <w:tcPr>
            <w:tcW w:w="6081" w:type="dxa"/>
            <w:vAlign w:val="center"/>
          </w:tcPr>
          <w:p w14:paraId="52742D8A" w14:textId="40FBAB22" w:rsidR="00D411B9" w:rsidRPr="00BB03EB" w:rsidRDefault="00D411B9" w:rsidP="00D411B9">
            <w:pPr>
              <w:spacing w:line="320" w:lineRule="atLeast"/>
              <w:rPr>
                <w:rFonts w:cs="Arial"/>
                <w:highlight w:val="yellow"/>
              </w:rPr>
            </w:pPr>
            <w:r w:rsidRPr="00BB03EB">
              <w:rPr>
                <w:rFonts w:cs="Arial"/>
              </w:rPr>
              <w:t>Čisté finanční škody</w:t>
            </w:r>
          </w:p>
        </w:tc>
        <w:tc>
          <w:tcPr>
            <w:tcW w:w="1842" w:type="dxa"/>
            <w:vAlign w:val="center"/>
          </w:tcPr>
          <w:p w14:paraId="4E03F6ED" w14:textId="11E0FC24" w:rsidR="00D411B9" w:rsidRPr="00BB03EB" w:rsidRDefault="00D411B9" w:rsidP="00D411B9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BB03EB">
              <w:rPr>
                <w:rFonts w:cs="Arial"/>
                <w:szCs w:val="20"/>
              </w:rPr>
              <w:t>7.500.000</w:t>
            </w:r>
          </w:p>
        </w:tc>
        <w:tc>
          <w:tcPr>
            <w:tcW w:w="1858" w:type="dxa"/>
            <w:vMerge/>
            <w:noWrap/>
            <w:vAlign w:val="center"/>
          </w:tcPr>
          <w:p w14:paraId="0924BC3D" w14:textId="77777777" w:rsidR="00D411B9" w:rsidRPr="00BB03EB" w:rsidRDefault="00D411B9" w:rsidP="00D411B9">
            <w:pPr>
              <w:spacing w:line="320" w:lineRule="atLeast"/>
              <w:ind w:right="170"/>
              <w:jc w:val="right"/>
              <w:rPr>
                <w:rFonts w:cs="Arial"/>
              </w:rPr>
            </w:pPr>
          </w:p>
        </w:tc>
      </w:tr>
      <w:tr w:rsidR="00D21AC0" w:rsidRPr="00BB03EB" w14:paraId="0FD427A6" w14:textId="77777777" w:rsidTr="000B5A4E">
        <w:trPr>
          <w:trHeight w:val="737"/>
        </w:trPr>
        <w:tc>
          <w:tcPr>
            <w:tcW w:w="6081" w:type="dxa"/>
            <w:vAlign w:val="center"/>
          </w:tcPr>
          <w:p w14:paraId="70218481" w14:textId="77777777" w:rsidR="00D21AC0" w:rsidRPr="002F42F6" w:rsidRDefault="00D21AC0" w:rsidP="002F42F6">
            <w:pPr>
              <w:spacing w:line="320" w:lineRule="atLeast"/>
              <w:jc w:val="both"/>
              <w:rPr>
                <w:rFonts w:cs="Arial"/>
              </w:rPr>
            </w:pPr>
            <w:r w:rsidRPr="002F42F6">
              <w:rPr>
                <w:rFonts w:cs="Arial"/>
              </w:rPr>
              <w:t xml:space="preserve">Obecná odpovědnost obce včetně odpovědnosti vyplývající z vlastnictví, držby nebo jiného oprávněného užívání nemovitosti sloužící k výkonu činnosti pojištěného, odpovědnost z provozování kulturních nebo sportovních zařízení, odpovědnost městské policie, odpovědnost obecního hasičského sboru, odpovědnost z provozování psího útulku, odpovědnost za škodu vzniklou při pořádání kulturních a sportovních akcí atd. </w:t>
            </w:r>
          </w:p>
          <w:p w14:paraId="76F42364" w14:textId="50E540E6" w:rsidR="00D21AC0" w:rsidRPr="002F42F6" w:rsidRDefault="00D21AC0" w:rsidP="002F42F6">
            <w:pPr>
              <w:spacing w:line="320" w:lineRule="atLeast"/>
              <w:jc w:val="both"/>
              <w:rPr>
                <w:rFonts w:cs="Arial"/>
                <w:highlight w:val="yellow"/>
              </w:rPr>
            </w:pPr>
            <w:r w:rsidRPr="002F42F6">
              <w:rPr>
                <w:rFonts w:cs="Arial"/>
              </w:rPr>
              <w:t>Hrubou nedbalostí je jednání nebo opomenutí, při kterém musel být vznik škody předpokládán nebo očekáván a pojištěný věděl, že při takovém jednání nebo opomenutí škoda nastane nebo může nastat, popřípadě byl s jejím vznikem srozuměn nebo mu její vznik byl lhostejný.</w:t>
            </w:r>
          </w:p>
        </w:tc>
        <w:tc>
          <w:tcPr>
            <w:tcW w:w="1842" w:type="dxa"/>
            <w:vAlign w:val="center"/>
          </w:tcPr>
          <w:p w14:paraId="0EFEAA8B" w14:textId="434713A5" w:rsidR="00D21AC0" w:rsidRPr="002F42F6" w:rsidRDefault="002F42F6" w:rsidP="00D411B9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2F42F6">
              <w:rPr>
                <w:rFonts w:cs="Arial"/>
                <w:szCs w:val="20"/>
              </w:rPr>
              <w:t>30.000.000</w:t>
            </w:r>
          </w:p>
        </w:tc>
        <w:tc>
          <w:tcPr>
            <w:tcW w:w="1858" w:type="dxa"/>
            <w:noWrap/>
            <w:vAlign w:val="center"/>
          </w:tcPr>
          <w:p w14:paraId="5AE149AC" w14:textId="71AFAE2D" w:rsidR="00D21AC0" w:rsidRPr="002F42F6" w:rsidRDefault="00C75289" w:rsidP="00D411B9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>
              <w:rPr>
                <w:rFonts w:cs="Arial"/>
              </w:rPr>
              <w:t>5.000</w:t>
            </w:r>
          </w:p>
        </w:tc>
      </w:tr>
      <w:tr w:rsidR="00BB03EB" w:rsidRPr="00BB03EB" w14:paraId="72BEE515" w14:textId="77777777" w:rsidTr="00D20D65">
        <w:trPr>
          <w:trHeight w:val="454"/>
        </w:trPr>
        <w:tc>
          <w:tcPr>
            <w:tcW w:w="6081" w:type="dxa"/>
            <w:vAlign w:val="center"/>
          </w:tcPr>
          <w:p w14:paraId="3AE9EEA6" w14:textId="7F359ACF" w:rsidR="00D411B9" w:rsidRPr="00D20D65" w:rsidRDefault="00D411B9" w:rsidP="00D411B9">
            <w:pPr>
              <w:spacing w:line="320" w:lineRule="atLeast"/>
              <w:rPr>
                <w:rFonts w:cs="Arial"/>
              </w:rPr>
            </w:pPr>
            <w:r w:rsidRPr="00BB03EB">
              <w:rPr>
                <w:rFonts w:cs="Arial"/>
              </w:rPr>
              <w:t>Výkon státní a veřejné správy</w:t>
            </w:r>
          </w:p>
        </w:tc>
        <w:tc>
          <w:tcPr>
            <w:tcW w:w="1842" w:type="dxa"/>
            <w:vAlign w:val="center"/>
          </w:tcPr>
          <w:p w14:paraId="3B7536E3" w14:textId="06AF2A13" w:rsidR="00D411B9" w:rsidRPr="00D20D65" w:rsidRDefault="00BF0F6C" w:rsidP="00D411B9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="00D411B9" w:rsidRPr="00D20D65">
              <w:rPr>
                <w:rFonts w:cs="Arial"/>
              </w:rPr>
              <w:t>.000.000</w:t>
            </w:r>
          </w:p>
        </w:tc>
        <w:tc>
          <w:tcPr>
            <w:tcW w:w="1858" w:type="dxa"/>
            <w:noWrap/>
            <w:vAlign w:val="center"/>
          </w:tcPr>
          <w:p w14:paraId="1AC7817A" w14:textId="67A859F6" w:rsidR="00D411B9" w:rsidRPr="00BB03EB" w:rsidRDefault="00C75289" w:rsidP="00D411B9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>
              <w:rPr>
                <w:rFonts w:cs="Arial"/>
              </w:rPr>
              <w:t>5.000</w:t>
            </w:r>
          </w:p>
        </w:tc>
      </w:tr>
      <w:tr w:rsidR="00BB03EB" w:rsidRPr="00BB03EB" w14:paraId="235B0437" w14:textId="77777777" w:rsidTr="000B5A4E">
        <w:trPr>
          <w:trHeight w:val="737"/>
        </w:trPr>
        <w:tc>
          <w:tcPr>
            <w:tcW w:w="6081" w:type="dxa"/>
            <w:vAlign w:val="center"/>
          </w:tcPr>
          <w:p w14:paraId="785EA1EA" w14:textId="2E22A6BA" w:rsidR="00D411B9" w:rsidRPr="00BB03EB" w:rsidRDefault="001C311F" w:rsidP="008B1C44">
            <w:pPr>
              <w:spacing w:line="320" w:lineRule="atLeast"/>
              <w:jc w:val="both"/>
              <w:rPr>
                <w:rFonts w:cs="Arial"/>
                <w:highlight w:val="yellow"/>
              </w:rPr>
            </w:pPr>
            <w:r w:rsidRPr="00BB03EB">
              <w:rPr>
                <w:rFonts w:cs="Arial"/>
              </w:rPr>
              <w:t>Odpovědnost členů zastupitelstva</w:t>
            </w:r>
            <w:r w:rsidR="008F3D22">
              <w:rPr>
                <w:rFonts w:cs="Arial"/>
              </w:rPr>
              <w:t xml:space="preserve"> -- </w:t>
            </w:r>
            <w:r w:rsidR="008F3D22" w:rsidRPr="00592A27">
              <w:rPr>
                <w:rFonts w:cs="Arial"/>
                <w:szCs w:val="20"/>
              </w:rPr>
              <w:t xml:space="preserve">Pojištění odpovědnosti členů zastupitelstva (zastupitelů, rady, starosty) za škodu způsobenou obci, včetně pojištění čistě finanční škody, včetně nákladů nutných k právní ochraně pojištěného (zastupitele) proti uplatněnému nároku na náhradu finanční škody. Jedná se </w:t>
            </w:r>
            <w:r w:rsidR="008F3D22">
              <w:rPr>
                <w:rFonts w:cs="Arial"/>
                <w:szCs w:val="20"/>
              </w:rPr>
              <w:t>také</w:t>
            </w:r>
            <w:r w:rsidR="008F3D22" w:rsidRPr="00592A27">
              <w:rPr>
                <w:rFonts w:cs="Arial"/>
                <w:szCs w:val="20"/>
              </w:rPr>
              <w:t xml:space="preserve"> o náklady na advokáta a zastupování u soudu</w:t>
            </w:r>
          </w:p>
        </w:tc>
        <w:tc>
          <w:tcPr>
            <w:tcW w:w="1842" w:type="dxa"/>
            <w:vAlign w:val="center"/>
          </w:tcPr>
          <w:p w14:paraId="61767901" w14:textId="4E671086" w:rsidR="00D411B9" w:rsidRPr="00BB03EB" w:rsidRDefault="00D6019E" w:rsidP="00D411B9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</w:t>
            </w:r>
            <w:r w:rsidR="00D411B9" w:rsidRPr="00896981">
              <w:rPr>
                <w:rFonts w:cs="Arial"/>
                <w:szCs w:val="20"/>
              </w:rPr>
              <w:t>.000.000</w:t>
            </w:r>
          </w:p>
        </w:tc>
        <w:tc>
          <w:tcPr>
            <w:tcW w:w="1858" w:type="dxa"/>
            <w:noWrap/>
            <w:vAlign w:val="center"/>
          </w:tcPr>
          <w:p w14:paraId="190D03E4" w14:textId="71B2791A" w:rsidR="00D411B9" w:rsidRPr="00BB03EB" w:rsidRDefault="00C75289" w:rsidP="00D411B9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>
              <w:rPr>
                <w:rFonts w:cs="Arial"/>
              </w:rPr>
              <w:t>5.000</w:t>
            </w:r>
          </w:p>
        </w:tc>
      </w:tr>
      <w:tr w:rsidR="00BB03EB" w:rsidRPr="00BB03EB" w14:paraId="794404C4" w14:textId="77777777" w:rsidTr="00A15857">
        <w:trPr>
          <w:trHeight w:val="454"/>
        </w:trPr>
        <w:tc>
          <w:tcPr>
            <w:tcW w:w="6081" w:type="dxa"/>
            <w:vAlign w:val="center"/>
          </w:tcPr>
          <w:p w14:paraId="1910979D" w14:textId="6274839E" w:rsidR="00D411B9" w:rsidRPr="00BB03EB" w:rsidRDefault="00D411B9" w:rsidP="00D411B9">
            <w:pPr>
              <w:spacing w:line="320" w:lineRule="atLeast"/>
              <w:rPr>
                <w:rFonts w:cs="Arial"/>
              </w:rPr>
            </w:pPr>
            <w:r w:rsidRPr="00BB03EB">
              <w:rPr>
                <w:rFonts w:cs="Arial"/>
              </w:rPr>
              <w:t>Osoby ve výkonu veřejných funkcí</w:t>
            </w:r>
          </w:p>
        </w:tc>
        <w:tc>
          <w:tcPr>
            <w:tcW w:w="1842" w:type="dxa"/>
            <w:vAlign w:val="center"/>
          </w:tcPr>
          <w:p w14:paraId="2C95253F" w14:textId="26C52D7E" w:rsidR="00D411B9" w:rsidRPr="00BB03EB" w:rsidRDefault="00B834D4" w:rsidP="00D411B9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</w:t>
            </w:r>
            <w:r w:rsidR="00D411B9" w:rsidRPr="00BB03EB">
              <w:rPr>
                <w:rFonts w:cs="Arial"/>
                <w:szCs w:val="20"/>
              </w:rPr>
              <w:t>.000.000</w:t>
            </w:r>
          </w:p>
        </w:tc>
        <w:tc>
          <w:tcPr>
            <w:tcW w:w="1858" w:type="dxa"/>
            <w:noWrap/>
            <w:vAlign w:val="center"/>
          </w:tcPr>
          <w:p w14:paraId="70C2B91A" w14:textId="429FF9E9" w:rsidR="00D411B9" w:rsidRPr="00BB03EB" w:rsidRDefault="00C75289" w:rsidP="00D411B9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>
              <w:rPr>
                <w:rFonts w:cs="Arial"/>
              </w:rPr>
              <w:t>5.000</w:t>
            </w:r>
          </w:p>
        </w:tc>
      </w:tr>
      <w:tr w:rsidR="00BB03EB" w:rsidRPr="00BB03EB" w14:paraId="73F62B0A" w14:textId="77777777" w:rsidTr="00A15857">
        <w:trPr>
          <w:trHeight w:val="454"/>
        </w:trPr>
        <w:tc>
          <w:tcPr>
            <w:tcW w:w="6081" w:type="dxa"/>
            <w:vAlign w:val="center"/>
          </w:tcPr>
          <w:p w14:paraId="199353D4" w14:textId="42FED9C0" w:rsidR="00D411B9" w:rsidRPr="00BB03EB" w:rsidRDefault="00D411B9" w:rsidP="00D411B9">
            <w:pPr>
              <w:spacing w:line="320" w:lineRule="atLeast"/>
              <w:rPr>
                <w:rFonts w:cs="Arial"/>
              </w:rPr>
            </w:pPr>
            <w:r w:rsidRPr="00BB03EB">
              <w:rPr>
                <w:rFonts w:cs="Arial"/>
              </w:rPr>
              <w:t>Kulturní zařízení</w:t>
            </w:r>
          </w:p>
        </w:tc>
        <w:tc>
          <w:tcPr>
            <w:tcW w:w="1842" w:type="dxa"/>
            <w:vAlign w:val="center"/>
          </w:tcPr>
          <w:p w14:paraId="4403A4D0" w14:textId="1C892586" w:rsidR="00D411B9" w:rsidRPr="00BB03EB" w:rsidRDefault="00D72DF2" w:rsidP="00D411B9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</w:t>
            </w:r>
            <w:r w:rsidR="00D411B9" w:rsidRPr="00BB03EB">
              <w:rPr>
                <w:rFonts w:cs="Arial"/>
                <w:szCs w:val="20"/>
              </w:rPr>
              <w:t>.000.000</w:t>
            </w:r>
          </w:p>
        </w:tc>
        <w:tc>
          <w:tcPr>
            <w:tcW w:w="1858" w:type="dxa"/>
            <w:noWrap/>
            <w:vAlign w:val="center"/>
          </w:tcPr>
          <w:p w14:paraId="5AD68D43" w14:textId="433AC4A4" w:rsidR="00D411B9" w:rsidRPr="00BB03EB" w:rsidRDefault="00C75289" w:rsidP="00D411B9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>
              <w:rPr>
                <w:rFonts w:cs="Arial"/>
              </w:rPr>
              <w:t>5.000</w:t>
            </w:r>
          </w:p>
        </w:tc>
      </w:tr>
      <w:tr w:rsidR="00BB03EB" w:rsidRPr="00BB03EB" w14:paraId="5590C3B8" w14:textId="77777777" w:rsidTr="00A15857">
        <w:trPr>
          <w:trHeight w:val="454"/>
        </w:trPr>
        <w:tc>
          <w:tcPr>
            <w:tcW w:w="6081" w:type="dxa"/>
            <w:vAlign w:val="center"/>
          </w:tcPr>
          <w:p w14:paraId="7A6E90F5" w14:textId="52571724" w:rsidR="00D411B9" w:rsidRPr="00BB03EB" w:rsidRDefault="00D411B9" w:rsidP="00D411B9">
            <w:pPr>
              <w:spacing w:line="320" w:lineRule="atLeast"/>
              <w:rPr>
                <w:rFonts w:cs="Arial"/>
              </w:rPr>
            </w:pPr>
            <w:r w:rsidRPr="00BB03EB">
              <w:rPr>
                <w:rFonts w:cs="Arial"/>
              </w:rPr>
              <w:t>Sportovní zařízení</w:t>
            </w:r>
          </w:p>
        </w:tc>
        <w:tc>
          <w:tcPr>
            <w:tcW w:w="1842" w:type="dxa"/>
            <w:vAlign w:val="center"/>
          </w:tcPr>
          <w:p w14:paraId="7EBBFCA3" w14:textId="497D72DB" w:rsidR="00D411B9" w:rsidRPr="00BB03EB" w:rsidRDefault="00D72DF2" w:rsidP="00D411B9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</w:t>
            </w:r>
            <w:r w:rsidR="00D411B9" w:rsidRPr="00BB03EB">
              <w:rPr>
                <w:rFonts w:cs="Arial"/>
                <w:szCs w:val="20"/>
              </w:rPr>
              <w:t>.000.000</w:t>
            </w:r>
          </w:p>
        </w:tc>
        <w:tc>
          <w:tcPr>
            <w:tcW w:w="1858" w:type="dxa"/>
            <w:noWrap/>
            <w:vAlign w:val="center"/>
          </w:tcPr>
          <w:p w14:paraId="0CD80050" w14:textId="70089D07" w:rsidR="00D411B9" w:rsidRPr="00BB03EB" w:rsidRDefault="00C75289" w:rsidP="00D411B9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>
              <w:rPr>
                <w:rFonts w:cs="Arial"/>
              </w:rPr>
              <w:t>5.000</w:t>
            </w:r>
          </w:p>
        </w:tc>
      </w:tr>
      <w:tr w:rsidR="00BB03EB" w:rsidRPr="00BB03EB" w14:paraId="3DDD2ACD" w14:textId="77777777" w:rsidTr="00A15857">
        <w:trPr>
          <w:trHeight w:val="454"/>
        </w:trPr>
        <w:tc>
          <w:tcPr>
            <w:tcW w:w="6081" w:type="dxa"/>
            <w:vAlign w:val="center"/>
          </w:tcPr>
          <w:p w14:paraId="2F870FC2" w14:textId="51A5B804" w:rsidR="00D411B9" w:rsidRPr="00BB03EB" w:rsidRDefault="00D411B9" w:rsidP="00D411B9">
            <w:pPr>
              <w:spacing w:line="320" w:lineRule="atLeast"/>
              <w:rPr>
                <w:rFonts w:cs="Arial"/>
              </w:rPr>
            </w:pPr>
            <w:r w:rsidRPr="00BB03EB">
              <w:rPr>
                <w:rFonts w:cs="Arial"/>
              </w:rPr>
              <w:t>Sociální služby</w:t>
            </w:r>
          </w:p>
        </w:tc>
        <w:tc>
          <w:tcPr>
            <w:tcW w:w="1842" w:type="dxa"/>
            <w:vAlign w:val="center"/>
          </w:tcPr>
          <w:p w14:paraId="6B744936" w14:textId="6C54A6CF" w:rsidR="00D411B9" w:rsidRPr="00BB03EB" w:rsidRDefault="00D72DF2" w:rsidP="00D411B9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</w:t>
            </w:r>
            <w:r w:rsidR="00D411B9" w:rsidRPr="00BB03EB">
              <w:rPr>
                <w:rFonts w:cs="Arial"/>
                <w:szCs w:val="20"/>
              </w:rPr>
              <w:t>.000.000</w:t>
            </w:r>
          </w:p>
        </w:tc>
        <w:tc>
          <w:tcPr>
            <w:tcW w:w="1858" w:type="dxa"/>
            <w:noWrap/>
            <w:vAlign w:val="center"/>
          </w:tcPr>
          <w:p w14:paraId="67297E3F" w14:textId="7A873467" w:rsidR="00D411B9" w:rsidRPr="00BB03EB" w:rsidRDefault="00C75289" w:rsidP="00D411B9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>
              <w:rPr>
                <w:rFonts w:cs="Arial"/>
              </w:rPr>
              <w:t>5.000</w:t>
            </w:r>
          </w:p>
        </w:tc>
      </w:tr>
      <w:tr w:rsidR="00BB03EB" w:rsidRPr="00BB03EB" w14:paraId="551BBF8C" w14:textId="77777777" w:rsidTr="000B5A4E">
        <w:trPr>
          <w:trHeight w:val="737"/>
        </w:trPr>
        <w:tc>
          <w:tcPr>
            <w:tcW w:w="6081" w:type="dxa"/>
            <w:vAlign w:val="center"/>
          </w:tcPr>
          <w:p w14:paraId="0C5F5A04" w14:textId="01E9EE18" w:rsidR="00D411B9" w:rsidRPr="00BB03EB" w:rsidRDefault="007616B4" w:rsidP="00D411B9">
            <w:pPr>
              <w:spacing w:line="320" w:lineRule="atLeast"/>
              <w:rPr>
                <w:rFonts w:cs="Arial"/>
              </w:rPr>
            </w:pPr>
            <w:r>
              <w:rPr>
                <w:rFonts w:cs="Arial"/>
              </w:rPr>
              <w:t>Odpovědnost za věci převzaté a užívané</w:t>
            </w:r>
          </w:p>
        </w:tc>
        <w:tc>
          <w:tcPr>
            <w:tcW w:w="1842" w:type="dxa"/>
            <w:vAlign w:val="center"/>
          </w:tcPr>
          <w:p w14:paraId="410CF6D6" w14:textId="0CB72B05" w:rsidR="00D411B9" w:rsidRPr="00BB03EB" w:rsidRDefault="00577B79" w:rsidP="00D411B9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1.000</w:t>
            </w:r>
            <w:r w:rsidR="00D411B9" w:rsidRPr="00BB03EB">
              <w:rPr>
                <w:rFonts w:cs="Arial"/>
                <w:szCs w:val="20"/>
              </w:rPr>
              <w:t>.000</w:t>
            </w:r>
          </w:p>
        </w:tc>
        <w:tc>
          <w:tcPr>
            <w:tcW w:w="1858" w:type="dxa"/>
            <w:noWrap/>
            <w:vAlign w:val="center"/>
          </w:tcPr>
          <w:p w14:paraId="39B3A039" w14:textId="77777777" w:rsidR="00D411B9" w:rsidRDefault="00C75289" w:rsidP="00D411B9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>
              <w:rPr>
                <w:rFonts w:cs="Arial"/>
              </w:rPr>
              <w:t>5.000</w:t>
            </w:r>
          </w:p>
          <w:p w14:paraId="2966501A" w14:textId="3B166C1F" w:rsidR="00C75289" w:rsidRPr="00BB03EB" w:rsidRDefault="00C75289" w:rsidP="00D411B9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</w:rPr>
              <w:t xml:space="preserve">pro školská zařízení </w:t>
            </w:r>
            <w:r>
              <w:rPr>
                <w:rFonts w:cs="Arial"/>
              </w:rPr>
              <w:t>1.000</w:t>
            </w:r>
          </w:p>
        </w:tc>
      </w:tr>
      <w:tr w:rsidR="00BB03EB" w:rsidRPr="00BB03EB" w14:paraId="41487A06" w14:textId="77777777" w:rsidTr="000B5A4E">
        <w:trPr>
          <w:trHeight w:val="737"/>
        </w:trPr>
        <w:tc>
          <w:tcPr>
            <w:tcW w:w="6081" w:type="dxa"/>
            <w:vAlign w:val="center"/>
          </w:tcPr>
          <w:p w14:paraId="31313719" w14:textId="1B7002C6" w:rsidR="00D411B9" w:rsidRPr="00BB03EB" w:rsidRDefault="00D411B9" w:rsidP="00D411B9">
            <w:pPr>
              <w:spacing w:line="320" w:lineRule="atLeast"/>
              <w:rPr>
                <w:rFonts w:cs="Arial"/>
              </w:rPr>
            </w:pPr>
            <w:r w:rsidRPr="00BB03EB">
              <w:rPr>
                <w:rFonts w:cs="Arial"/>
              </w:rPr>
              <w:t>Věci zaměstnanců, návštěvníků</w:t>
            </w:r>
          </w:p>
        </w:tc>
        <w:tc>
          <w:tcPr>
            <w:tcW w:w="1842" w:type="dxa"/>
            <w:vAlign w:val="center"/>
          </w:tcPr>
          <w:p w14:paraId="5A909DEE" w14:textId="19AA7472" w:rsidR="000B5A4E" w:rsidRPr="00BB03EB" w:rsidRDefault="00594609" w:rsidP="00D411B9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BB03EB">
              <w:rPr>
                <w:rFonts w:cs="Arial"/>
                <w:szCs w:val="20"/>
              </w:rPr>
              <w:t xml:space="preserve">motorové vozidlo </w:t>
            </w:r>
          </w:p>
          <w:p w14:paraId="2172917E" w14:textId="3340DDFA" w:rsidR="00D411B9" w:rsidRPr="00BB03EB" w:rsidRDefault="00594609" w:rsidP="00D411B9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BB03EB">
              <w:rPr>
                <w:rFonts w:cs="Arial"/>
                <w:szCs w:val="20"/>
              </w:rPr>
              <w:t>1.000.000</w:t>
            </w:r>
          </w:p>
          <w:p w14:paraId="0DFA513E" w14:textId="77777777" w:rsidR="000B5A4E" w:rsidRPr="00BB03EB" w:rsidRDefault="00594609" w:rsidP="00D411B9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BB03EB">
              <w:rPr>
                <w:rFonts w:cs="Arial"/>
                <w:szCs w:val="20"/>
              </w:rPr>
              <w:t xml:space="preserve">jízdní kolo </w:t>
            </w:r>
          </w:p>
          <w:p w14:paraId="1D3386E1" w14:textId="2E159B7A" w:rsidR="00594609" w:rsidRPr="00BB03EB" w:rsidRDefault="00594609" w:rsidP="00D411B9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BB03EB">
              <w:rPr>
                <w:rFonts w:cs="Arial"/>
                <w:szCs w:val="20"/>
              </w:rPr>
              <w:t>50.000</w:t>
            </w:r>
          </w:p>
          <w:p w14:paraId="481B8443" w14:textId="28A9A868" w:rsidR="00594609" w:rsidRPr="00BB03EB" w:rsidRDefault="00594609" w:rsidP="00D411B9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BB03EB">
              <w:rPr>
                <w:rFonts w:cs="Arial"/>
                <w:szCs w:val="20"/>
              </w:rPr>
              <w:t>ostatní věci 250.000</w:t>
            </w:r>
          </w:p>
        </w:tc>
        <w:tc>
          <w:tcPr>
            <w:tcW w:w="1858" w:type="dxa"/>
            <w:noWrap/>
            <w:vAlign w:val="center"/>
          </w:tcPr>
          <w:p w14:paraId="1AE3091D" w14:textId="2CA50D3E" w:rsidR="00594609" w:rsidRPr="00BB03EB" w:rsidRDefault="000B5A4E" w:rsidP="000B5A4E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BB03EB">
              <w:rPr>
                <w:rFonts w:cs="Arial"/>
                <w:szCs w:val="20"/>
              </w:rPr>
              <w:t>m</w:t>
            </w:r>
            <w:r w:rsidR="00594609" w:rsidRPr="00BB03EB">
              <w:rPr>
                <w:rFonts w:cs="Arial"/>
                <w:szCs w:val="20"/>
              </w:rPr>
              <w:t>otorové</w:t>
            </w:r>
            <w:r w:rsidRPr="00BB03EB">
              <w:rPr>
                <w:rFonts w:cs="Arial"/>
                <w:szCs w:val="20"/>
              </w:rPr>
              <w:t xml:space="preserve"> </w:t>
            </w:r>
            <w:r w:rsidR="00594609" w:rsidRPr="00BB03EB">
              <w:rPr>
                <w:rFonts w:cs="Arial"/>
                <w:szCs w:val="20"/>
              </w:rPr>
              <w:t>vozidlo</w:t>
            </w:r>
            <w:r w:rsidRPr="00BB03EB">
              <w:rPr>
                <w:rFonts w:cs="Arial"/>
                <w:szCs w:val="20"/>
              </w:rPr>
              <w:t xml:space="preserve"> </w:t>
            </w:r>
            <w:r w:rsidR="00594609" w:rsidRPr="00BB03EB">
              <w:rPr>
                <w:rFonts w:cs="Arial"/>
                <w:szCs w:val="20"/>
              </w:rPr>
              <w:t>5% min. 5.000</w:t>
            </w:r>
          </w:p>
          <w:p w14:paraId="077AE4A6" w14:textId="77777777" w:rsidR="000B5A4E" w:rsidRPr="00BB03EB" w:rsidRDefault="00594609" w:rsidP="00594609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BB03EB">
              <w:rPr>
                <w:rFonts w:cs="Arial"/>
                <w:szCs w:val="20"/>
              </w:rPr>
              <w:t xml:space="preserve">jízdní kolo </w:t>
            </w:r>
          </w:p>
          <w:p w14:paraId="12E14C85" w14:textId="241CFF4D" w:rsidR="00594609" w:rsidRPr="00BB03EB" w:rsidRDefault="00594609" w:rsidP="00594609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BB03EB">
              <w:rPr>
                <w:rFonts w:cs="Arial"/>
                <w:szCs w:val="20"/>
              </w:rPr>
              <w:t>1.000</w:t>
            </w:r>
          </w:p>
          <w:p w14:paraId="03BDE567" w14:textId="77777777" w:rsidR="006D1663" w:rsidRPr="00BB03EB" w:rsidRDefault="00594609" w:rsidP="00594609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BB03EB">
              <w:rPr>
                <w:rFonts w:cs="Arial"/>
                <w:szCs w:val="20"/>
              </w:rPr>
              <w:t xml:space="preserve">ostatní věci </w:t>
            </w:r>
          </w:p>
          <w:p w14:paraId="62ADD16F" w14:textId="1BD6350D" w:rsidR="00D411B9" w:rsidRPr="00BB03EB" w:rsidRDefault="00594609" w:rsidP="00594609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  <w:szCs w:val="20"/>
              </w:rPr>
              <w:t>500</w:t>
            </w:r>
          </w:p>
        </w:tc>
      </w:tr>
      <w:tr w:rsidR="00BB03EB" w:rsidRPr="00BB03EB" w14:paraId="6FCCA8C8" w14:textId="77777777" w:rsidTr="000B5A4E">
        <w:trPr>
          <w:trHeight w:val="737"/>
        </w:trPr>
        <w:tc>
          <w:tcPr>
            <w:tcW w:w="6081" w:type="dxa"/>
            <w:vAlign w:val="center"/>
          </w:tcPr>
          <w:p w14:paraId="318573CE" w14:textId="5F95F3B8" w:rsidR="00D411B9" w:rsidRPr="00BB03EB" w:rsidRDefault="00D411B9" w:rsidP="00D411B9">
            <w:pPr>
              <w:spacing w:line="320" w:lineRule="atLeast"/>
              <w:rPr>
                <w:rFonts w:cs="Arial"/>
              </w:rPr>
            </w:pPr>
            <w:r w:rsidRPr="00BB03EB">
              <w:rPr>
                <w:rFonts w:cs="Arial"/>
              </w:rPr>
              <w:t>Onemocnění z potravin</w:t>
            </w:r>
          </w:p>
        </w:tc>
        <w:tc>
          <w:tcPr>
            <w:tcW w:w="1842" w:type="dxa"/>
            <w:vAlign w:val="center"/>
          </w:tcPr>
          <w:p w14:paraId="67B87E40" w14:textId="54150388" w:rsidR="00D411B9" w:rsidRPr="00BB03EB" w:rsidRDefault="003F14DE" w:rsidP="00D411B9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30.000.000</w:t>
            </w:r>
          </w:p>
        </w:tc>
        <w:tc>
          <w:tcPr>
            <w:tcW w:w="1858" w:type="dxa"/>
            <w:noWrap/>
            <w:vAlign w:val="center"/>
          </w:tcPr>
          <w:p w14:paraId="6D070790" w14:textId="77777777" w:rsidR="00C75289" w:rsidRDefault="00C75289" w:rsidP="00C75289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>
              <w:rPr>
                <w:rFonts w:cs="Arial"/>
              </w:rPr>
              <w:t>5.000</w:t>
            </w:r>
          </w:p>
          <w:p w14:paraId="2BD043FA" w14:textId="41BA0BF5" w:rsidR="00D411B9" w:rsidRPr="00BB03EB" w:rsidRDefault="00C75289" w:rsidP="00C75289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</w:rPr>
              <w:t xml:space="preserve">pro školská zařízení </w:t>
            </w:r>
            <w:r>
              <w:rPr>
                <w:rFonts w:cs="Arial"/>
              </w:rPr>
              <w:t>1.000</w:t>
            </w:r>
          </w:p>
        </w:tc>
      </w:tr>
      <w:tr w:rsidR="00BB03EB" w:rsidRPr="00BB03EB" w14:paraId="3CCAB87E" w14:textId="77777777" w:rsidTr="000B5A4E">
        <w:trPr>
          <w:trHeight w:val="737"/>
        </w:trPr>
        <w:tc>
          <w:tcPr>
            <w:tcW w:w="6081" w:type="dxa"/>
            <w:vAlign w:val="center"/>
          </w:tcPr>
          <w:p w14:paraId="3A284526" w14:textId="15517E13" w:rsidR="00D411B9" w:rsidRPr="00BB03EB" w:rsidRDefault="00D411B9" w:rsidP="00D411B9">
            <w:pPr>
              <w:spacing w:line="320" w:lineRule="atLeast"/>
              <w:rPr>
                <w:rFonts w:cs="Arial"/>
              </w:rPr>
            </w:pPr>
            <w:r w:rsidRPr="00BB03EB">
              <w:rPr>
                <w:rFonts w:cs="Arial"/>
              </w:rPr>
              <w:t>Křížová odpovědnost</w:t>
            </w:r>
          </w:p>
        </w:tc>
        <w:tc>
          <w:tcPr>
            <w:tcW w:w="1842" w:type="dxa"/>
            <w:vAlign w:val="center"/>
          </w:tcPr>
          <w:p w14:paraId="35F1A423" w14:textId="17736CCD" w:rsidR="00D411B9" w:rsidRPr="00BB03EB" w:rsidRDefault="00590A4F" w:rsidP="00D411B9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</w:t>
            </w:r>
            <w:r w:rsidR="00D411B9" w:rsidRPr="00BB03EB">
              <w:rPr>
                <w:rFonts w:cs="Arial"/>
                <w:szCs w:val="20"/>
              </w:rPr>
              <w:t>.000.000</w:t>
            </w:r>
          </w:p>
        </w:tc>
        <w:tc>
          <w:tcPr>
            <w:tcW w:w="1858" w:type="dxa"/>
            <w:noWrap/>
            <w:vAlign w:val="center"/>
          </w:tcPr>
          <w:p w14:paraId="03F389CC" w14:textId="77777777" w:rsidR="00C75289" w:rsidRDefault="00C75289" w:rsidP="00C75289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>
              <w:rPr>
                <w:rFonts w:cs="Arial"/>
              </w:rPr>
              <w:t>5.000</w:t>
            </w:r>
          </w:p>
          <w:p w14:paraId="1232AAAF" w14:textId="30FA080A" w:rsidR="00D411B9" w:rsidRPr="00BB03EB" w:rsidRDefault="00C75289" w:rsidP="00C75289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</w:rPr>
              <w:t xml:space="preserve">pro školská zařízení </w:t>
            </w:r>
            <w:r>
              <w:rPr>
                <w:rFonts w:cs="Arial"/>
              </w:rPr>
              <w:t>1.000</w:t>
            </w:r>
          </w:p>
        </w:tc>
      </w:tr>
      <w:tr w:rsidR="00BB03EB" w:rsidRPr="00BB03EB" w14:paraId="23F5E7B5" w14:textId="77777777" w:rsidTr="000B5A4E">
        <w:trPr>
          <w:trHeight w:val="737"/>
        </w:trPr>
        <w:tc>
          <w:tcPr>
            <w:tcW w:w="6081" w:type="dxa"/>
            <w:vAlign w:val="center"/>
          </w:tcPr>
          <w:p w14:paraId="20E6BCE7" w14:textId="13D0B3FB" w:rsidR="00D411B9" w:rsidRPr="00BB03EB" w:rsidRDefault="00D411B9" w:rsidP="00D411B9">
            <w:pPr>
              <w:spacing w:line="320" w:lineRule="atLeast"/>
              <w:rPr>
                <w:rFonts w:cs="Arial"/>
              </w:rPr>
            </w:pPr>
            <w:r w:rsidRPr="00BB03EB">
              <w:rPr>
                <w:rFonts w:cs="Arial"/>
              </w:rPr>
              <w:t>Nemajetková újma na přirozených právech člověka</w:t>
            </w:r>
          </w:p>
        </w:tc>
        <w:tc>
          <w:tcPr>
            <w:tcW w:w="1842" w:type="dxa"/>
            <w:vAlign w:val="center"/>
          </w:tcPr>
          <w:p w14:paraId="4EE99C58" w14:textId="243FB865" w:rsidR="00D411B9" w:rsidRPr="00BB03EB" w:rsidRDefault="00590A4F" w:rsidP="00D411B9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="00D411B9" w:rsidRPr="00BB03EB">
              <w:rPr>
                <w:rFonts w:cs="Arial"/>
                <w:szCs w:val="20"/>
              </w:rPr>
              <w:t>.000.000</w:t>
            </w:r>
          </w:p>
        </w:tc>
        <w:tc>
          <w:tcPr>
            <w:tcW w:w="1858" w:type="dxa"/>
            <w:noWrap/>
            <w:vAlign w:val="center"/>
          </w:tcPr>
          <w:p w14:paraId="12878A5E" w14:textId="77777777" w:rsidR="00C75289" w:rsidRDefault="00C75289" w:rsidP="00C75289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>
              <w:rPr>
                <w:rFonts w:cs="Arial"/>
              </w:rPr>
              <w:t>5.000</w:t>
            </w:r>
          </w:p>
          <w:p w14:paraId="731FBF2C" w14:textId="74D3F9A3" w:rsidR="00D411B9" w:rsidRPr="00BB03EB" w:rsidRDefault="00C75289" w:rsidP="00C75289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</w:rPr>
              <w:t xml:space="preserve">pro školská zařízení </w:t>
            </w:r>
            <w:r>
              <w:rPr>
                <w:rFonts w:cs="Arial"/>
              </w:rPr>
              <w:t>1.000</w:t>
            </w:r>
          </w:p>
        </w:tc>
      </w:tr>
      <w:tr w:rsidR="00BB03EB" w:rsidRPr="00BB03EB" w14:paraId="4FF148EA" w14:textId="77777777" w:rsidTr="000B5A4E">
        <w:trPr>
          <w:trHeight w:val="737"/>
        </w:trPr>
        <w:tc>
          <w:tcPr>
            <w:tcW w:w="6081" w:type="dxa"/>
            <w:vAlign w:val="center"/>
          </w:tcPr>
          <w:p w14:paraId="671DDE3C" w14:textId="25C6B2D5" w:rsidR="00D411B9" w:rsidRPr="00BB03EB" w:rsidRDefault="00D411B9" w:rsidP="008B1C44">
            <w:pPr>
              <w:suppressAutoHyphens/>
              <w:spacing w:before="2" w:line="320" w:lineRule="atLeast"/>
              <w:jc w:val="both"/>
              <w:rPr>
                <w:rFonts w:cs="Arial"/>
              </w:rPr>
            </w:pPr>
            <w:r w:rsidRPr="00BB03EB">
              <w:rPr>
                <w:rFonts w:cs="Arial"/>
              </w:rPr>
              <w:t>Školy</w:t>
            </w:r>
            <w:r w:rsidR="000B5A4E" w:rsidRPr="00BB03EB">
              <w:rPr>
                <w:rFonts w:cs="Arial"/>
              </w:rPr>
              <w:t xml:space="preserve"> - krádež věcí ze šaten, odpovědnost žáka, učně nebo studenta</w:t>
            </w:r>
          </w:p>
        </w:tc>
        <w:tc>
          <w:tcPr>
            <w:tcW w:w="1842" w:type="dxa"/>
            <w:vAlign w:val="center"/>
          </w:tcPr>
          <w:p w14:paraId="7FE381C1" w14:textId="015D2002" w:rsidR="00D411B9" w:rsidRPr="00BB03EB" w:rsidRDefault="00D411B9" w:rsidP="00D411B9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BB03EB">
              <w:rPr>
                <w:rFonts w:cs="Arial"/>
                <w:szCs w:val="20"/>
              </w:rPr>
              <w:t>10.000.000</w:t>
            </w:r>
          </w:p>
        </w:tc>
        <w:tc>
          <w:tcPr>
            <w:tcW w:w="1858" w:type="dxa"/>
            <w:noWrap/>
            <w:vAlign w:val="center"/>
          </w:tcPr>
          <w:p w14:paraId="55F5C0C6" w14:textId="6CA191E3" w:rsidR="00D411B9" w:rsidRPr="00BB03EB" w:rsidRDefault="00D411B9" w:rsidP="00D411B9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</w:rPr>
              <w:t>1.000</w:t>
            </w:r>
          </w:p>
        </w:tc>
      </w:tr>
      <w:tr w:rsidR="00BB03EB" w:rsidRPr="00BB03EB" w14:paraId="12A6A159" w14:textId="77777777" w:rsidTr="000B5A4E">
        <w:trPr>
          <w:trHeight w:val="737"/>
        </w:trPr>
        <w:tc>
          <w:tcPr>
            <w:tcW w:w="6081" w:type="dxa"/>
            <w:vAlign w:val="center"/>
          </w:tcPr>
          <w:p w14:paraId="14F60579" w14:textId="74C0F28A" w:rsidR="001C311F" w:rsidRPr="00BB03EB" w:rsidRDefault="001C311F" w:rsidP="008B1C44">
            <w:pPr>
              <w:suppressAutoHyphens/>
              <w:spacing w:before="2" w:line="320" w:lineRule="atLeast"/>
              <w:jc w:val="both"/>
              <w:rPr>
                <w:rFonts w:cs="Arial"/>
              </w:rPr>
            </w:pPr>
            <w:r w:rsidRPr="00BB03EB">
              <w:rPr>
                <w:rFonts w:cs="Arial"/>
              </w:rPr>
              <w:t>Pojištění odpovědnosti za škodu v souladu se Zákonem č. 247/2014 Sb., o poskytování služby péče o dítě v dětské skupině</w:t>
            </w:r>
          </w:p>
        </w:tc>
        <w:tc>
          <w:tcPr>
            <w:tcW w:w="1842" w:type="dxa"/>
            <w:vAlign w:val="center"/>
          </w:tcPr>
          <w:p w14:paraId="3D3CB3EC" w14:textId="3A700DEC" w:rsidR="001C311F" w:rsidRPr="00BB03EB" w:rsidRDefault="00590A4F" w:rsidP="00D411B9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</w:t>
            </w:r>
            <w:r w:rsidR="001C311F" w:rsidRPr="00BB03EB">
              <w:rPr>
                <w:rFonts w:cs="Arial"/>
                <w:szCs w:val="20"/>
              </w:rPr>
              <w:t>.000.000</w:t>
            </w:r>
          </w:p>
        </w:tc>
        <w:tc>
          <w:tcPr>
            <w:tcW w:w="1858" w:type="dxa"/>
            <w:noWrap/>
            <w:vAlign w:val="center"/>
          </w:tcPr>
          <w:p w14:paraId="5CCF2AB7" w14:textId="026F7F5B" w:rsidR="001C311F" w:rsidRPr="00BB03EB" w:rsidRDefault="00C75289" w:rsidP="00D411B9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1C311F" w:rsidRPr="00BB03EB">
              <w:rPr>
                <w:rFonts w:cs="Arial"/>
              </w:rPr>
              <w:t>.000</w:t>
            </w:r>
          </w:p>
        </w:tc>
      </w:tr>
      <w:tr w:rsidR="002F42F6" w:rsidRPr="00BB03EB" w14:paraId="28B5CBD3" w14:textId="77777777" w:rsidTr="000B5A4E">
        <w:trPr>
          <w:trHeight w:val="737"/>
        </w:trPr>
        <w:tc>
          <w:tcPr>
            <w:tcW w:w="6081" w:type="dxa"/>
            <w:vAlign w:val="center"/>
          </w:tcPr>
          <w:p w14:paraId="166D0210" w14:textId="4D4B5E89" w:rsidR="002F42F6" w:rsidRPr="00BB03EB" w:rsidRDefault="002F42F6" w:rsidP="008B1C44">
            <w:pPr>
              <w:suppressAutoHyphens/>
              <w:spacing w:before="2" w:line="320" w:lineRule="atLeast"/>
              <w:jc w:val="both"/>
              <w:rPr>
                <w:rFonts w:cs="Arial"/>
              </w:rPr>
            </w:pPr>
            <w:r w:rsidRPr="00592A27">
              <w:rPr>
                <w:rFonts w:cs="Arial"/>
                <w:szCs w:val="20"/>
              </w:rPr>
              <w:t>Sublimit pro škody, způsobené osobám vykonávajícím veřejnou službu</w:t>
            </w:r>
          </w:p>
        </w:tc>
        <w:tc>
          <w:tcPr>
            <w:tcW w:w="1842" w:type="dxa"/>
            <w:vAlign w:val="center"/>
          </w:tcPr>
          <w:p w14:paraId="6EF4D622" w14:textId="6E136B67" w:rsidR="002F42F6" w:rsidRPr="00BB03EB" w:rsidRDefault="002F42F6" w:rsidP="002F42F6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592A27">
              <w:rPr>
                <w:rFonts w:cs="Arial"/>
              </w:rPr>
              <w:t>30.000.000</w:t>
            </w:r>
          </w:p>
        </w:tc>
        <w:tc>
          <w:tcPr>
            <w:tcW w:w="1858" w:type="dxa"/>
            <w:noWrap/>
            <w:vAlign w:val="center"/>
          </w:tcPr>
          <w:p w14:paraId="41C7CAA4" w14:textId="5F8492FF" w:rsidR="002F42F6" w:rsidRPr="00BB03EB" w:rsidRDefault="00C75289" w:rsidP="002F42F6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>
              <w:rPr>
                <w:rFonts w:cs="Arial"/>
              </w:rPr>
              <w:t>5.000</w:t>
            </w:r>
          </w:p>
        </w:tc>
      </w:tr>
      <w:tr w:rsidR="002F42F6" w:rsidRPr="00BB03EB" w14:paraId="657F6278" w14:textId="77777777" w:rsidTr="000B5A4E">
        <w:trPr>
          <w:trHeight w:val="737"/>
        </w:trPr>
        <w:tc>
          <w:tcPr>
            <w:tcW w:w="6081" w:type="dxa"/>
            <w:vAlign w:val="center"/>
          </w:tcPr>
          <w:p w14:paraId="336079EC" w14:textId="5F769000" w:rsidR="002F42F6" w:rsidRPr="00BB03EB" w:rsidRDefault="002F42F6" w:rsidP="008B1C44">
            <w:pPr>
              <w:suppressAutoHyphens/>
              <w:spacing w:before="2" w:line="320" w:lineRule="atLeast"/>
              <w:jc w:val="both"/>
              <w:rPr>
                <w:rFonts w:cs="Arial"/>
              </w:rPr>
            </w:pPr>
            <w:r w:rsidRPr="00592A27">
              <w:rPr>
                <w:rFonts w:cs="Arial"/>
                <w:szCs w:val="20"/>
              </w:rPr>
              <w:t>Sublimit pro škody, které osoby vykonávající veřejnou službu způsobí třetím osobám, za kterou považujeme i obec</w:t>
            </w:r>
          </w:p>
        </w:tc>
        <w:tc>
          <w:tcPr>
            <w:tcW w:w="1842" w:type="dxa"/>
            <w:vAlign w:val="center"/>
          </w:tcPr>
          <w:p w14:paraId="17321CB1" w14:textId="4040346A" w:rsidR="002F42F6" w:rsidRPr="00BB03EB" w:rsidRDefault="002F42F6" w:rsidP="002F42F6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592A27">
              <w:rPr>
                <w:rFonts w:cs="Arial"/>
              </w:rPr>
              <w:t>30.000.000</w:t>
            </w:r>
          </w:p>
        </w:tc>
        <w:tc>
          <w:tcPr>
            <w:tcW w:w="1858" w:type="dxa"/>
            <w:noWrap/>
            <w:vAlign w:val="center"/>
          </w:tcPr>
          <w:p w14:paraId="7883707D" w14:textId="4B0A5A03" w:rsidR="002F42F6" w:rsidRPr="00BB03EB" w:rsidRDefault="00C75289" w:rsidP="002F42F6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>
              <w:rPr>
                <w:rFonts w:cs="Arial"/>
              </w:rPr>
              <w:t>5.000</w:t>
            </w:r>
          </w:p>
        </w:tc>
      </w:tr>
      <w:tr w:rsidR="002F42F6" w:rsidRPr="00BB03EB" w14:paraId="481EA221" w14:textId="77777777" w:rsidTr="000B5A4E">
        <w:trPr>
          <w:trHeight w:val="737"/>
        </w:trPr>
        <w:tc>
          <w:tcPr>
            <w:tcW w:w="6081" w:type="dxa"/>
            <w:vAlign w:val="center"/>
          </w:tcPr>
          <w:p w14:paraId="54A3F50F" w14:textId="627F2EDC" w:rsidR="002F42F6" w:rsidRPr="00BB03EB" w:rsidRDefault="002F42F6" w:rsidP="008B1C44">
            <w:pPr>
              <w:suppressAutoHyphens/>
              <w:spacing w:before="2" w:line="320" w:lineRule="atLeast"/>
              <w:jc w:val="both"/>
              <w:rPr>
                <w:rFonts w:cs="Arial"/>
              </w:rPr>
            </w:pPr>
            <w:r w:rsidRPr="00592A27">
              <w:rPr>
                <w:rFonts w:cs="Arial"/>
                <w:szCs w:val="20"/>
              </w:rPr>
              <w:t>Sublimit pro škody, které osoby vykonávající veřejnou službu způsobí poškozením nebo zničením (nikoliv však ztrátou) svěřených pracovních prostředků</w:t>
            </w:r>
          </w:p>
        </w:tc>
        <w:tc>
          <w:tcPr>
            <w:tcW w:w="1842" w:type="dxa"/>
            <w:vAlign w:val="center"/>
          </w:tcPr>
          <w:p w14:paraId="30FD12A6" w14:textId="5A036D40" w:rsidR="002F42F6" w:rsidRPr="00BB03EB" w:rsidRDefault="002F42F6" w:rsidP="002F42F6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592A27">
              <w:rPr>
                <w:rFonts w:cs="Arial"/>
              </w:rPr>
              <w:t>1.000.000</w:t>
            </w:r>
          </w:p>
        </w:tc>
        <w:tc>
          <w:tcPr>
            <w:tcW w:w="1858" w:type="dxa"/>
            <w:noWrap/>
            <w:vAlign w:val="center"/>
          </w:tcPr>
          <w:p w14:paraId="77C127BE" w14:textId="1C0E1716" w:rsidR="002F42F6" w:rsidRPr="00BB03EB" w:rsidRDefault="00C75289" w:rsidP="002F42F6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>
              <w:rPr>
                <w:rFonts w:cs="Arial"/>
              </w:rPr>
              <w:t>5.000</w:t>
            </w:r>
          </w:p>
        </w:tc>
      </w:tr>
      <w:tr w:rsidR="002F42F6" w:rsidRPr="00BB03EB" w14:paraId="339FFD46" w14:textId="77777777" w:rsidTr="000B5A4E">
        <w:trPr>
          <w:trHeight w:val="737"/>
        </w:trPr>
        <w:tc>
          <w:tcPr>
            <w:tcW w:w="6081" w:type="dxa"/>
            <w:vAlign w:val="center"/>
          </w:tcPr>
          <w:p w14:paraId="583A508D" w14:textId="436C8FDE" w:rsidR="002F42F6" w:rsidRPr="00BB03EB" w:rsidRDefault="002F42F6" w:rsidP="008B1C44">
            <w:pPr>
              <w:suppressAutoHyphens/>
              <w:spacing w:before="2" w:line="320" w:lineRule="atLeast"/>
              <w:jc w:val="both"/>
              <w:rPr>
                <w:rFonts w:cs="Arial"/>
              </w:rPr>
            </w:pPr>
            <w:r w:rsidRPr="00592A27">
              <w:rPr>
                <w:rFonts w:cs="Arial"/>
                <w:szCs w:val="20"/>
              </w:rPr>
              <w:t>Odpovědnost za škodu vzniklou osobám ve výkonu veřejných funkcí - pojištěna je odpovědnost za škodu dle § 392 odst. 1 zákoníku práce, pokud za ni obec odpovídá, vzniklou osobám plnícím veřejné funkce nebo v přímé souvislosti s touto veřejnou funkcí.</w:t>
            </w:r>
          </w:p>
        </w:tc>
        <w:tc>
          <w:tcPr>
            <w:tcW w:w="1842" w:type="dxa"/>
            <w:vAlign w:val="center"/>
          </w:tcPr>
          <w:p w14:paraId="503116D3" w14:textId="09BF3A48" w:rsidR="002F42F6" w:rsidRPr="00BB03EB" w:rsidRDefault="002F42F6" w:rsidP="002F42F6">
            <w:pPr>
              <w:spacing w:line="320" w:lineRule="atLeast"/>
              <w:ind w:right="170"/>
              <w:jc w:val="right"/>
              <w:rPr>
                <w:rFonts w:cs="Arial"/>
                <w:szCs w:val="20"/>
              </w:rPr>
            </w:pPr>
            <w:r w:rsidRPr="00592A27">
              <w:rPr>
                <w:rFonts w:cs="Arial"/>
              </w:rPr>
              <w:t>30.000.000</w:t>
            </w:r>
          </w:p>
        </w:tc>
        <w:tc>
          <w:tcPr>
            <w:tcW w:w="1858" w:type="dxa"/>
            <w:noWrap/>
            <w:vAlign w:val="center"/>
          </w:tcPr>
          <w:p w14:paraId="0645822F" w14:textId="69126566" w:rsidR="002F42F6" w:rsidRPr="00BB03EB" w:rsidRDefault="00C75289" w:rsidP="002F42F6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>
              <w:rPr>
                <w:rFonts w:cs="Arial"/>
              </w:rPr>
              <w:t>5.000</w:t>
            </w:r>
          </w:p>
        </w:tc>
      </w:tr>
      <w:tr w:rsidR="002F42F6" w:rsidRPr="00BB03EB" w14:paraId="1C7D958D" w14:textId="77777777" w:rsidTr="000B5A4E">
        <w:trPr>
          <w:trHeight w:val="737"/>
        </w:trPr>
        <w:tc>
          <w:tcPr>
            <w:tcW w:w="6081" w:type="dxa"/>
            <w:vAlign w:val="center"/>
          </w:tcPr>
          <w:p w14:paraId="0E0A5B3F" w14:textId="590E5356" w:rsidR="002F42F6" w:rsidRPr="00592A27" w:rsidRDefault="002F42F6" w:rsidP="008B1C44">
            <w:pPr>
              <w:suppressAutoHyphens/>
              <w:spacing w:before="2" w:line="320" w:lineRule="atLeast"/>
              <w:jc w:val="both"/>
              <w:rPr>
                <w:rFonts w:cs="Arial"/>
                <w:szCs w:val="20"/>
              </w:rPr>
            </w:pPr>
            <w:r w:rsidRPr="00592A27">
              <w:rPr>
                <w:rFonts w:cs="Arial"/>
                <w:szCs w:val="20"/>
              </w:rPr>
              <w:t>V souladu s ustanoveními o odpovědnosti za škodu způsobenou na vnesených nebo odložených věcech dle Občanského zákoníku jsou pojištěny i škody způsobené třetím osobám na věcech odložených a vnesených. V tomto rozsahu jsou pojištěny i škody na vozidlech dle § 435 Občanského zákoníku.</w:t>
            </w:r>
          </w:p>
        </w:tc>
        <w:tc>
          <w:tcPr>
            <w:tcW w:w="1842" w:type="dxa"/>
            <w:vAlign w:val="center"/>
          </w:tcPr>
          <w:p w14:paraId="3E5B2E1E" w14:textId="177AC071" w:rsidR="002F42F6" w:rsidRPr="00592A27" w:rsidRDefault="002F42F6" w:rsidP="002F42F6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592A27">
              <w:rPr>
                <w:rFonts w:cs="Arial"/>
              </w:rPr>
              <w:t>30.000.000</w:t>
            </w:r>
          </w:p>
        </w:tc>
        <w:tc>
          <w:tcPr>
            <w:tcW w:w="1858" w:type="dxa"/>
            <w:noWrap/>
            <w:vAlign w:val="center"/>
          </w:tcPr>
          <w:p w14:paraId="7B35F526" w14:textId="77777777" w:rsidR="00C75289" w:rsidRDefault="00C75289" w:rsidP="00C75289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>
              <w:rPr>
                <w:rFonts w:cs="Arial"/>
              </w:rPr>
              <w:t>5.000</w:t>
            </w:r>
          </w:p>
          <w:p w14:paraId="4B051182" w14:textId="600AB64D" w:rsidR="002F42F6" w:rsidRPr="00592A27" w:rsidRDefault="00C75289" w:rsidP="00C75289">
            <w:pPr>
              <w:spacing w:line="320" w:lineRule="atLeast"/>
              <w:ind w:right="170"/>
              <w:jc w:val="right"/>
              <w:rPr>
                <w:rFonts w:cs="Arial"/>
              </w:rPr>
            </w:pPr>
            <w:r w:rsidRPr="00BB03EB">
              <w:rPr>
                <w:rFonts w:cs="Arial"/>
              </w:rPr>
              <w:t xml:space="preserve">pro školská zařízení </w:t>
            </w:r>
            <w:r>
              <w:rPr>
                <w:rFonts w:cs="Arial"/>
              </w:rPr>
              <w:t>1.000</w:t>
            </w:r>
          </w:p>
        </w:tc>
      </w:tr>
    </w:tbl>
    <w:p w14:paraId="6D2B61C3" w14:textId="77777777" w:rsidR="005F57BB" w:rsidRDefault="005F57BB" w:rsidP="00D411B9">
      <w:pPr>
        <w:spacing w:line="320" w:lineRule="atLeast"/>
        <w:jc w:val="both"/>
        <w:rPr>
          <w:rFonts w:cs="Arial"/>
          <w:b/>
          <w:bCs/>
          <w:sz w:val="22"/>
          <w:szCs w:val="22"/>
        </w:rPr>
      </w:pPr>
    </w:p>
    <w:p w14:paraId="611B8E88" w14:textId="0A71861B" w:rsidR="00BA1B43" w:rsidRDefault="00BA1B43">
      <w:pPr>
        <w:spacing w:after="160" w:line="259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br w:type="page"/>
      </w:r>
    </w:p>
    <w:p w14:paraId="4032771A" w14:textId="77777777" w:rsidR="00BD5B24" w:rsidRPr="00BB03EB" w:rsidRDefault="00BD5B24" w:rsidP="00D411B9">
      <w:pPr>
        <w:spacing w:line="320" w:lineRule="atLeast"/>
        <w:jc w:val="both"/>
        <w:rPr>
          <w:rFonts w:cs="Arial"/>
          <w:b/>
          <w:bCs/>
          <w:sz w:val="22"/>
          <w:szCs w:val="22"/>
        </w:rPr>
      </w:pPr>
    </w:p>
    <w:p w14:paraId="4F785690" w14:textId="0B40C4CD" w:rsidR="00DF77C6" w:rsidRPr="00DF77C6" w:rsidRDefault="002F42F6" w:rsidP="002F42F6">
      <w:pPr>
        <w:spacing w:line="298" w:lineRule="auto"/>
        <w:jc w:val="both"/>
        <w:rPr>
          <w:rFonts w:cs="Arial"/>
          <w:b/>
          <w:bCs/>
        </w:rPr>
      </w:pPr>
      <w:r w:rsidRPr="00DF77C6">
        <w:rPr>
          <w:rFonts w:cs="Arial"/>
          <w:b/>
          <w:bCs/>
        </w:rPr>
        <w:t xml:space="preserve">Doložka - Odpovědnost starosty, zastupitelů </w:t>
      </w:r>
    </w:p>
    <w:p w14:paraId="714DA3A2" w14:textId="0400F01A" w:rsidR="002F42F6" w:rsidRPr="00E1736D" w:rsidRDefault="002F42F6" w:rsidP="002F42F6">
      <w:pPr>
        <w:spacing w:line="298" w:lineRule="auto"/>
        <w:jc w:val="both"/>
        <w:rPr>
          <w:rFonts w:cs="Arial"/>
        </w:rPr>
      </w:pPr>
      <w:r w:rsidRPr="00E1736D">
        <w:rPr>
          <w:rFonts w:cs="Arial"/>
        </w:rPr>
        <w:t>Pojištěnými v rozsahu této doložky jsou osoby, které v době trvání pojištění byly, jsou nebo budou ve funkci starosty (primátora, hejtmana), místostarosty, člena rady nebo člena zastupitelstva pojištěného územního samosprávného celku (obec, město, kraj).</w:t>
      </w:r>
    </w:p>
    <w:p w14:paraId="1490968C" w14:textId="31D7FD52" w:rsidR="002F42F6" w:rsidRPr="00E1736D" w:rsidRDefault="002F42F6" w:rsidP="002F42F6">
      <w:pPr>
        <w:spacing w:line="298" w:lineRule="auto"/>
        <w:jc w:val="both"/>
        <w:rPr>
          <w:rFonts w:cs="Arial"/>
        </w:rPr>
      </w:pPr>
      <w:r w:rsidRPr="00E1736D">
        <w:rPr>
          <w:rFonts w:cs="Arial"/>
        </w:rPr>
        <w:t>Pojištění v rozsahu této doložky se sjednává pro případ právním předpisem stanové povinnosti pojištěného nahradit škodu vzniklou územnímu samosprávnému celku (pojistníkovi) při výkonu</w:t>
      </w:r>
      <w:r w:rsidR="008B1C44">
        <w:rPr>
          <w:rFonts w:cs="Arial"/>
        </w:rPr>
        <w:t xml:space="preserve"> </w:t>
      </w:r>
      <w:r w:rsidRPr="00E1736D">
        <w:rPr>
          <w:rFonts w:cs="Arial"/>
        </w:rPr>
        <w:t>veřejné funkce nebo v přímé souvislosti s ní. Škodní událostí se pro účely tohoto pojištění rozumí vznik škody (vč. čisté finanční škody) či újmy.</w:t>
      </w:r>
    </w:p>
    <w:p w14:paraId="43E976DD" w14:textId="6B02E6EF" w:rsidR="002F42F6" w:rsidRPr="00E1736D" w:rsidRDefault="002F42F6" w:rsidP="002F42F6">
      <w:pPr>
        <w:spacing w:line="298" w:lineRule="auto"/>
        <w:jc w:val="both"/>
        <w:rPr>
          <w:rFonts w:cs="Arial"/>
        </w:rPr>
      </w:pPr>
      <w:r w:rsidRPr="00E1736D">
        <w:rPr>
          <w:rFonts w:cs="Arial"/>
        </w:rPr>
        <w:t>Pojišťovna poskytne plnění z pojištění v případě, že v době trvání pojištění bylo pojištěnému poprvé doručeno písemné uplatnění práva poškozené obce na náhradu škody či újmy a pojištěný zároveň toto právo uplatnil u pojišťovny v době trvání pojištění nebo v průběhu 60 dnů po jeho skončení.</w:t>
      </w:r>
    </w:p>
    <w:p w14:paraId="6E81D36D" w14:textId="77777777" w:rsidR="002F42F6" w:rsidRPr="00E1736D" w:rsidRDefault="002F42F6" w:rsidP="002F42F6">
      <w:pPr>
        <w:spacing w:line="298" w:lineRule="auto"/>
        <w:jc w:val="both"/>
        <w:rPr>
          <w:rFonts w:cs="Arial"/>
        </w:rPr>
      </w:pPr>
      <w:r w:rsidRPr="00E1736D">
        <w:rPr>
          <w:rFonts w:cs="Arial"/>
        </w:rPr>
        <w:t>Pojištění se však nevztahuje na případy, kdy příčina vzniku škody nastala před e dnem 1. 8. 2015.</w:t>
      </w:r>
    </w:p>
    <w:p w14:paraId="0598DFF5" w14:textId="77777777" w:rsidR="002F42F6" w:rsidRPr="00E1736D" w:rsidRDefault="002F42F6" w:rsidP="002F42F6">
      <w:pPr>
        <w:spacing w:line="298" w:lineRule="auto"/>
        <w:jc w:val="both"/>
        <w:rPr>
          <w:rFonts w:cs="Arial"/>
        </w:rPr>
      </w:pPr>
      <w:r w:rsidRPr="00E1736D">
        <w:rPr>
          <w:rFonts w:cs="Arial"/>
        </w:rPr>
        <w:t>Připojištění se však nevztahuje na povinnost pojištěného nahradit škodu či újmu:</w:t>
      </w:r>
    </w:p>
    <w:p w14:paraId="54D46815" w14:textId="77777777" w:rsidR="002F42F6" w:rsidRPr="00E1736D" w:rsidRDefault="002F42F6" w:rsidP="002F42F6">
      <w:pPr>
        <w:spacing w:line="298" w:lineRule="auto"/>
        <w:jc w:val="both"/>
        <w:rPr>
          <w:rFonts w:cs="Arial"/>
        </w:rPr>
      </w:pPr>
      <w:r w:rsidRPr="00E1736D">
        <w:rPr>
          <w:rFonts w:cs="Arial"/>
        </w:rPr>
        <w:t>a) vzniklou schodkem na svěřených hodnotách, které je pojištěný povinen vyúčtovat;</w:t>
      </w:r>
    </w:p>
    <w:p w14:paraId="73A9E2AA" w14:textId="77777777" w:rsidR="002F42F6" w:rsidRPr="00E1736D" w:rsidRDefault="002F42F6" w:rsidP="002F42F6">
      <w:pPr>
        <w:spacing w:line="298" w:lineRule="auto"/>
        <w:jc w:val="both"/>
        <w:rPr>
          <w:rFonts w:cs="Arial"/>
        </w:rPr>
      </w:pPr>
      <w:r w:rsidRPr="00E1736D">
        <w:rPr>
          <w:rFonts w:cs="Arial"/>
        </w:rPr>
        <w:t>b) v souvislosti s výkonem podnikatelské nebo jiné výdělečné činnosti;</w:t>
      </w:r>
    </w:p>
    <w:p w14:paraId="57698952" w14:textId="77777777" w:rsidR="002F42F6" w:rsidRPr="00E1736D" w:rsidRDefault="002F42F6" w:rsidP="002F42F6">
      <w:pPr>
        <w:spacing w:line="298" w:lineRule="auto"/>
        <w:jc w:val="both"/>
        <w:rPr>
          <w:rFonts w:cs="Arial"/>
        </w:rPr>
      </w:pPr>
      <w:r w:rsidRPr="00E1736D">
        <w:rPr>
          <w:rFonts w:cs="Arial"/>
        </w:rPr>
        <w:t>c) vzniklou při obchodování s cennými papíry;</w:t>
      </w:r>
    </w:p>
    <w:p w14:paraId="06C5E87B" w14:textId="77777777" w:rsidR="002F42F6" w:rsidRPr="00E1736D" w:rsidRDefault="002F42F6" w:rsidP="002F42F6">
      <w:pPr>
        <w:spacing w:line="298" w:lineRule="auto"/>
        <w:jc w:val="both"/>
        <w:rPr>
          <w:rFonts w:cs="Arial"/>
        </w:rPr>
      </w:pPr>
      <w:r w:rsidRPr="00E1736D">
        <w:rPr>
          <w:rFonts w:cs="Arial"/>
        </w:rPr>
        <w:t>d) vzniklou na pneumatikách a dopravovaných věcech s výjimkou škod vzniklých při dopravní</w:t>
      </w:r>
    </w:p>
    <w:p w14:paraId="71747A6B" w14:textId="77777777" w:rsidR="002F42F6" w:rsidRPr="00E1736D" w:rsidRDefault="002F42F6" w:rsidP="002F42F6">
      <w:pPr>
        <w:spacing w:line="298" w:lineRule="auto"/>
        <w:jc w:val="both"/>
        <w:rPr>
          <w:rFonts w:cs="Arial"/>
        </w:rPr>
      </w:pPr>
      <w:r w:rsidRPr="00E1736D">
        <w:rPr>
          <w:rFonts w:cs="Arial"/>
        </w:rPr>
        <w:t>nehodě.</w:t>
      </w:r>
    </w:p>
    <w:p w14:paraId="1C893C81" w14:textId="77777777" w:rsidR="002F42F6" w:rsidRPr="00E1736D" w:rsidRDefault="002F42F6" w:rsidP="002F42F6">
      <w:pPr>
        <w:spacing w:line="298" w:lineRule="auto"/>
        <w:jc w:val="both"/>
        <w:rPr>
          <w:rFonts w:cs="Arial"/>
        </w:rPr>
      </w:pPr>
      <w:r w:rsidRPr="00E1736D">
        <w:rPr>
          <w:rFonts w:cs="Arial"/>
        </w:rPr>
        <w:t>Ujednává se, že pojištění se vztahuje i na povinnost pojištěného nahradit škodu na movitých věcech svěřených nebo užívaných k výkonu práce, pokud došlo k jejich poškození nebo zničení, s výjimkou škod způsobených zanedbáním předepsané obsluhy a údržby.</w:t>
      </w:r>
    </w:p>
    <w:p w14:paraId="37E13246" w14:textId="77777777" w:rsidR="002F42F6" w:rsidRPr="00E1736D" w:rsidRDefault="002F42F6" w:rsidP="002F42F6">
      <w:pPr>
        <w:spacing w:line="298" w:lineRule="auto"/>
        <w:jc w:val="both"/>
        <w:rPr>
          <w:rFonts w:cs="Arial"/>
        </w:rPr>
      </w:pPr>
      <w:r w:rsidRPr="00E1736D">
        <w:rPr>
          <w:rFonts w:cs="Arial"/>
        </w:rPr>
        <w:t>Pojistná plnění vyplacená z jedné a ze všech škodních, resp. sériových škodních, událostí nastalých v průběhu ročního pojistného období nesmí přesáhnout sublimit pojistného plnění pro doložku, který byl v pojistné smlouvě stanoven pro pojistný rok, ve kterém bylo pojištěnému poprvé doručeno písemné uplatnění práva poškozeného na náhradu škody či újmy.</w:t>
      </w:r>
    </w:p>
    <w:p w14:paraId="55527222" w14:textId="77777777" w:rsidR="002F42F6" w:rsidRPr="00E1736D" w:rsidRDefault="002F42F6" w:rsidP="002F42F6">
      <w:pPr>
        <w:spacing w:line="298" w:lineRule="auto"/>
        <w:jc w:val="both"/>
        <w:rPr>
          <w:rFonts w:cs="Arial"/>
        </w:rPr>
      </w:pPr>
      <w:r w:rsidRPr="00E1736D">
        <w:rPr>
          <w:rFonts w:cs="Arial"/>
        </w:rPr>
        <w:t>Pro sériovou škodní událost zároveň platí, že pojistné plnění ze všech škodních událostí v sérii nesmí přesáhnout sublimit pojistného plnění, který byl v pojistné smlouvě ujednán pro pojistný rok, ve kterém bylo pojištěnému poprvé doručeno písemné uplatnění práva poškozeného na náhradu škody či újmy.</w:t>
      </w:r>
    </w:p>
    <w:p w14:paraId="161BE3EA" w14:textId="77777777" w:rsidR="006B5224" w:rsidRDefault="006B5224">
      <w:pPr>
        <w:spacing w:after="160" w:line="259" w:lineRule="auto"/>
        <w:rPr>
          <w:rFonts w:cs="Arial"/>
          <w:b/>
          <w:sz w:val="22"/>
          <w:szCs w:val="22"/>
        </w:rPr>
      </w:pPr>
    </w:p>
    <w:p w14:paraId="3A7FC973" w14:textId="696B6146" w:rsidR="00F116FD" w:rsidRPr="00F116FD" w:rsidRDefault="00F116FD" w:rsidP="00F116FD">
      <w:pPr>
        <w:spacing w:after="160" w:line="259" w:lineRule="auto"/>
        <w:rPr>
          <w:rFonts w:cs="Arial"/>
          <w:b/>
          <w:sz w:val="22"/>
          <w:szCs w:val="22"/>
        </w:rPr>
      </w:pPr>
      <w:r w:rsidRPr="00F116FD">
        <w:rPr>
          <w:rFonts w:cs="Arial"/>
          <w:b/>
          <w:sz w:val="22"/>
          <w:szCs w:val="22"/>
        </w:rPr>
        <w:t>Zvláštní ujednání:</w:t>
      </w:r>
    </w:p>
    <w:p w14:paraId="1B2166A2" w14:textId="1773E1DF" w:rsidR="006B5224" w:rsidRPr="00FC28AD" w:rsidRDefault="00F116FD" w:rsidP="00FC28AD">
      <w:pPr>
        <w:spacing w:line="298" w:lineRule="auto"/>
        <w:jc w:val="both"/>
        <w:rPr>
          <w:rFonts w:cs="Arial"/>
        </w:rPr>
      </w:pPr>
      <w:r w:rsidRPr="00FC28AD">
        <w:rPr>
          <w:rFonts w:cs="Arial"/>
        </w:rPr>
        <w:t xml:space="preserve">Pojištění se </w:t>
      </w:r>
      <w:r w:rsidR="006B5224" w:rsidRPr="00FC28AD">
        <w:rPr>
          <w:rFonts w:cs="Arial"/>
        </w:rPr>
        <w:t>vztahuje na škodu nebo jinou újmu, kdy v důsledku výkonu pojištěné činnosti nebo právního vztahu pojištěného poškozený nesplnil všechny podmínky dané zákonem nebo smlouvou a nebyla mu přidělena dotace nebo byl povinen dotaci vrátit nebo mu vznikla čistě finanční škoda v jiné souvislosti s dotací.</w:t>
      </w:r>
      <w:r w:rsidRPr="00FC28AD">
        <w:rPr>
          <w:rFonts w:cs="Arial"/>
        </w:rPr>
        <w:t xml:space="preserve"> </w:t>
      </w:r>
      <w:r w:rsidR="006B5224" w:rsidRPr="00FC28AD">
        <w:rPr>
          <w:rFonts w:cs="Arial"/>
        </w:rPr>
        <w:t>Pojištěným pro tyto případy je obec a zastupitel. Sublimit pojistného plnění činí pro všechny pojištěné částku 500 000 Kč.</w:t>
      </w:r>
    </w:p>
    <w:p w14:paraId="3AEC64A7" w14:textId="77777777" w:rsidR="00A15857" w:rsidRDefault="00A15857">
      <w:pPr>
        <w:spacing w:after="160" w:line="259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br w:type="page"/>
      </w:r>
    </w:p>
    <w:p w14:paraId="3382F820" w14:textId="77777777" w:rsidR="00F0791D" w:rsidRPr="00F116FD" w:rsidRDefault="00F0791D" w:rsidP="006B5224">
      <w:pPr>
        <w:spacing w:after="160" w:line="259" w:lineRule="auto"/>
        <w:rPr>
          <w:rFonts w:cs="Arial"/>
          <w:bCs/>
          <w:sz w:val="22"/>
          <w:szCs w:val="22"/>
        </w:rPr>
      </w:pPr>
    </w:p>
    <w:p w14:paraId="6CA85983" w14:textId="28F5494F" w:rsidR="008274D5" w:rsidRPr="00BB03EB" w:rsidRDefault="008274D5" w:rsidP="008274D5">
      <w:pPr>
        <w:numPr>
          <w:ilvl w:val="0"/>
          <w:numId w:val="1"/>
        </w:numPr>
        <w:tabs>
          <w:tab w:val="clear" w:pos="720"/>
          <w:tab w:val="num" w:pos="567"/>
        </w:tabs>
        <w:spacing w:line="320" w:lineRule="atLeast"/>
        <w:ind w:left="567" w:hanging="567"/>
        <w:jc w:val="both"/>
        <w:rPr>
          <w:rFonts w:cs="Arial"/>
          <w:b/>
          <w:sz w:val="22"/>
          <w:szCs w:val="22"/>
        </w:rPr>
      </w:pPr>
      <w:r w:rsidRPr="00BB03EB">
        <w:rPr>
          <w:rFonts w:cs="Arial"/>
          <w:b/>
          <w:sz w:val="22"/>
          <w:szCs w:val="22"/>
        </w:rPr>
        <w:t>Škodní průběh</w:t>
      </w:r>
    </w:p>
    <w:p w14:paraId="117EF765" w14:textId="77777777" w:rsidR="008274D5" w:rsidRPr="00BB03EB" w:rsidRDefault="008274D5" w:rsidP="008274D5">
      <w:pPr>
        <w:suppressAutoHyphens/>
        <w:spacing w:before="2" w:line="298" w:lineRule="auto"/>
        <w:jc w:val="both"/>
        <w:rPr>
          <w:rFonts w:cs="Arial"/>
          <w:bCs/>
          <w:iCs/>
          <w:szCs w:val="20"/>
        </w:rPr>
      </w:pPr>
    </w:p>
    <w:p w14:paraId="4EE59A75" w14:textId="77777777" w:rsidR="008274D5" w:rsidRPr="00BB03EB" w:rsidRDefault="008274D5" w:rsidP="008274D5">
      <w:pPr>
        <w:spacing w:line="320" w:lineRule="atLeast"/>
        <w:jc w:val="both"/>
        <w:rPr>
          <w:rFonts w:cs="Arial"/>
          <w:b/>
          <w:bCs/>
          <w:szCs w:val="20"/>
        </w:rPr>
      </w:pPr>
      <w:r w:rsidRPr="00BB03EB">
        <w:rPr>
          <w:rFonts w:cs="Arial"/>
          <w:b/>
          <w:bCs/>
          <w:szCs w:val="20"/>
        </w:rPr>
        <w:t>a)</w:t>
      </w:r>
      <w:r w:rsidRPr="00BB03EB">
        <w:rPr>
          <w:rFonts w:cs="Arial"/>
          <w:b/>
          <w:bCs/>
          <w:szCs w:val="20"/>
        </w:rPr>
        <w:tab/>
        <w:t>Pojištění majetku</w:t>
      </w:r>
    </w:p>
    <w:p w14:paraId="59636041" w14:textId="77777777" w:rsidR="008274D5" w:rsidRPr="00BB03EB" w:rsidRDefault="008274D5" w:rsidP="008274D5">
      <w:pPr>
        <w:spacing w:line="320" w:lineRule="atLeast"/>
        <w:jc w:val="both"/>
        <w:rPr>
          <w:rFonts w:ascii="Verdana" w:hAnsi="Verdana" w:cs="Arial"/>
          <w:b/>
          <w:bCs/>
          <w:szCs w:val="20"/>
        </w:rPr>
      </w:pP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2386"/>
        <w:gridCol w:w="2386"/>
        <w:gridCol w:w="2386"/>
      </w:tblGrid>
      <w:tr w:rsidR="00BB03EB" w:rsidRPr="00BB03EB" w14:paraId="33981878" w14:textId="77777777" w:rsidTr="00BB03EB">
        <w:trPr>
          <w:trHeight w:val="379"/>
        </w:trPr>
        <w:tc>
          <w:tcPr>
            <w:tcW w:w="2386" w:type="dxa"/>
            <w:shd w:val="clear" w:color="auto" w:fill="808080" w:themeFill="background1" w:themeFillShade="80"/>
          </w:tcPr>
          <w:p w14:paraId="54709114" w14:textId="77777777" w:rsidR="008274D5" w:rsidRPr="00BB03EB" w:rsidRDefault="008274D5" w:rsidP="00531689">
            <w:pPr>
              <w:spacing w:line="320" w:lineRule="atLeast"/>
              <w:jc w:val="center"/>
              <w:rPr>
                <w:rFonts w:cs="Arial"/>
                <w:b/>
              </w:rPr>
            </w:pPr>
            <w:r w:rsidRPr="00BB03EB">
              <w:rPr>
                <w:rFonts w:cs="Arial"/>
                <w:b/>
              </w:rPr>
              <w:t>Období</w:t>
            </w:r>
          </w:p>
        </w:tc>
        <w:tc>
          <w:tcPr>
            <w:tcW w:w="2386" w:type="dxa"/>
            <w:shd w:val="clear" w:color="auto" w:fill="808080" w:themeFill="background1" w:themeFillShade="80"/>
          </w:tcPr>
          <w:p w14:paraId="7D7A8294" w14:textId="77777777" w:rsidR="008274D5" w:rsidRPr="00BB03EB" w:rsidRDefault="008274D5" w:rsidP="00531689">
            <w:pPr>
              <w:spacing w:line="320" w:lineRule="atLeast"/>
              <w:jc w:val="center"/>
              <w:rPr>
                <w:rFonts w:cs="Arial"/>
                <w:b/>
              </w:rPr>
            </w:pPr>
            <w:r w:rsidRPr="00BB03EB">
              <w:rPr>
                <w:rFonts w:cs="Arial"/>
                <w:b/>
              </w:rPr>
              <w:t>Počet škod</w:t>
            </w:r>
          </w:p>
        </w:tc>
        <w:tc>
          <w:tcPr>
            <w:tcW w:w="2386" w:type="dxa"/>
            <w:shd w:val="clear" w:color="auto" w:fill="808080" w:themeFill="background1" w:themeFillShade="80"/>
          </w:tcPr>
          <w:p w14:paraId="5FF0718F" w14:textId="77777777" w:rsidR="008274D5" w:rsidRPr="00BB03EB" w:rsidRDefault="008274D5" w:rsidP="00531689">
            <w:pPr>
              <w:spacing w:line="320" w:lineRule="atLeast"/>
              <w:jc w:val="center"/>
              <w:rPr>
                <w:rFonts w:cs="Arial"/>
                <w:b/>
              </w:rPr>
            </w:pPr>
            <w:r w:rsidRPr="00BB03EB">
              <w:rPr>
                <w:rFonts w:cs="Arial"/>
                <w:b/>
              </w:rPr>
              <w:t>Rezerva</w:t>
            </w:r>
          </w:p>
        </w:tc>
        <w:tc>
          <w:tcPr>
            <w:tcW w:w="2386" w:type="dxa"/>
            <w:shd w:val="clear" w:color="auto" w:fill="808080" w:themeFill="background1" w:themeFillShade="80"/>
          </w:tcPr>
          <w:p w14:paraId="2641564A" w14:textId="77777777" w:rsidR="008274D5" w:rsidRPr="00BB03EB" w:rsidRDefault="008274D5" w:rsidP="00531689">
            <w:pPr>
              <w:spacing w:line="320" w:lineRule="atLeast"/>
              <w:jc w:val="center"/>
              <w:rPr>
                <w:rFonts w:cs="Arial"/>
                <w:b/>
              </w:rPr>
            </w:pPr>
            <w:r w:rsidRPr="00BB03EB">
              <w:rPr>
                <w:rFonts w:cs="Arial"/>
                <w:b/>
              </w:rPr>
              <w:t>Pojistné plnění</w:t>
            </w:r>
          </w:p>
        </w:tc>
      </w:tr>
      <w:tr w:rsidR="00BB03EB" w:rsidRPr="00BB03EB" w14:paraId="1FA97310" w14:textId="77777777" w:rsidTr="00531689">
        <w:trPr>
          <w:trHeight w:val="333"/>
        </w:trPr>
        <w:tc>
          <w:tcPr>
            <w:tcW w:w="2386" w:type="dxa"/>
          </w:tcPr>
          <w:p w14:paraId="6CEF8749" w14:textId="3AC4E29A" w:rsidR="008274D5" w:rsidRPr="00BB03EB" w:rsidRDefault="003B0180" w:rsidP="00531689">
            <w:pPr>
              <w:spacing w:line="320" w:lineRule="atLeast"/>
              <w:jc w:val="center"/>
              <w:rPr>
                <w:rFonts w:cs="Arial"/>
                <w:bCs/>
              </w:rPr>
            </w:pPr>
            <w:r w:rsidRPr="00BB03EB">
              <w:rPr>
                <w:rFonts w:cs="Arial"/>
                <w:bCs/>
              </w:rPr>
              <w:t>1.1.2021 – 31.12.2021</w:t>
            </w:r>
          </w:p>
        </w:tc>
        <w:tc>
          <w:tcPr>
            <w:tcW w:w="2386" w:type="dxa"/>
          </w:tcPr>
          <w:p w14:paraId="3C25F79A" w14:textId="21D9CFFA" w:rsidR="008274D5" w:rsidRPr="00BB03EB" w:rsidRDefault="003B0180" w:rsidP="00531689">
            <w:pPr>
              <w:spacing w:line="320" w:lineRule="atLeast"/>
              <w:jc w:val="center"/>
              <w:rPr>
                <w:rFonts w:cs="Arial"/>
                <w:bCs/>
              </w:rPr>
            </w:pPr>
            <w:r w:rsidRPr="00BB03EB">
              <w:rPr>
                <w:rFonts w:cs="Arial"/>
                <w:bCs/>
              </w:rPr>
              <w:t>9</w:t>
            </w:r>
          </w:p>
        </w:tc>
        <w:tc>
          <w:tcPr>
            <w:tcW w:w="2386" w:type="dxa"/>
          </w:tcPr>
          <w:p w14:paraId="1798A0FF" w14:textId="782697AB" w:rsidR="008274D5" w:rsidRPr="00BB03EB" w:rsidRDefault="003B0180" w:rsidP="00531689">
            <w:pPr>
              <w:spacing w:line="320" w:lineRule="atLeast"/>
              <w:jc w:val="right"/>
              <w:rPr>
                <w:rFonts w:cs="Arial"/>
                <w:bCs/>
              </w:rPr>
            </w:pPr>
            <w:r w:rsidRPr="00BB03EB">
              <w:rPr>
                <w:rFonts w:cs="Arial"/>
                <w:bCs/>
              </w:rPr>
              <w:t>0 Kč</w:t>
            </w:r>
          </w:p>
        </w:tc>
        <w:tc>
          <w:tcPr>
            <w:tcW w:w="2386" w:type="dxa"/>
          </w:tcPr>
          <w:p w14:paraId="55650624" w14:textId="3B5BACDF" w:rsidR="008274D5" w:rsidRPr="00BB03EB" w:rsidRDefault="003B0180" w:rsidP="00531689">
            <w:pPr>
              <w:spacing w:line="320" w:lineRule="atLeast"/>
              <w:jc w:val="right"/>
              <w:rPr>
                <w:rFonts w:cs="Arial"/>
                <w:bCs/>
              </w:rPr>
            </w:pPr>
            <w:r w:rsidRPr="00BB03EB">
              <w:rPr>
                <w:rFonts w:cs="Arial"/>
                <w:bCs/>
              </w:rPr>
              <w:t>454 834 Kč</w:t>
            </w:r>
          </w:p>
        </w:tc>
      </w:tr>
      <w:tr w:rsidR="00BB03EB" w:rsidRPr="00BB03EB" w14:paraId="7CB38CA1" w14:textId="77777777" w:rsidTr="00531689">
        <w:trPr>
          <w:trHeight w:val="315"/>
        </w:trPr>
        <w:tc>
          <w:tcPr>
            <w:tcW w:w="2386" w:type="dxa"/>
          </w:tcPr>
          <w:p w14:paraId="42AFFA70" w14:textId="5B93ECF8" w:rsidR="003B0180" w:rsidRPr="00BB03EB" w:rsidRDefault="003B0180" w:rsidP="003B0180">
            <w:pPr>
              <w:spacing w:line="320" w:lineRule="atLeast"/>
              <w:jc w:val="center"/>
              <w:rPr>
                <w:rFonts w:cs="Arial"/>
                <w:bCs/>
              </w:rPr>
            </w:pPr>
            <w:r w:rsidRPr="00BB03EB">
              <w:rPr>
                <w:rFonts w:cs="Arial"/>
                <w:bCs/>
              </w:rPr>
              <w:t>1.1.2022 – 31.12.2022</w:t>
            </w:r>
          </w:p>
        </w:tc>
        <w:tc>
          <w:tcPr>
            <w:tcW w:w="2386" w:type="dxa"/>
          </w:tcPr>
          <w:p w14:paraId="74277B6B" w14:textId="7E53979E" w:rsidR="003B0180" w:rsidRPr="00BB03EB" w:rsidRDefault="003B0180" w:rsidP="003B0180">
            <w:pPr>
              <w:spacing w:line="320" w:lineRule="atLeast"/>
              <w:jc w:val="center"/>
              <w:rPr>
                <w:rFonts w:cs="Arial"/>
                <w:bCs/>
              </w:rPr>
            </w:pPr>
            <w:r w:rsidRPr="00BB03EB">
              <w:rPr>
                <w:rFonts w:cs="Arial"/>
                <w:bCs/>
              </w:rPr>
              <w:t>10</w:t>
            </w:r>
          </w:p>
        </w:tc>
        <w:tc>
          <w:tcPr>
            <w:tcW w:w="2386" w:type="dxa"/>
          </w:tcPr>
          <w:p w14:paraId="29B6A4D2" w14:textId="67EC71BF" w:rsidR="003B0180" w:rsidRPr="00BB03EB" w:rsidRDefault="003B0180" w:rsidP="003B0180">
            <w:pPr>
              <w:spacing w:line="320" w:lineRule="atLeast"/>
              <w:jc w:val="right"/>
              <w:rPr>
                <w:rFonts w:cs="Arial"/>
                <w:bCs/>
              </w:rPr>
            </w:pPr>
            <w:r w:rsidRPr="00BB03EB">
              <w:rPr>
                <w:rFonts w:cs="Arial"/>
                <w:bCs/>
              </w:rPr>
              <w:t>0 Kč</w:t>
            </w:r>
          </w:p>
        </w:tc>
        <w:tc>
          <w:tcPr>
            <w:tcW w:w="2386" w:type="dxa"/>
          </w:tcPr>
          <w:p w14:paraId="5EDDC3F6" w14:textId="74D49535" w:rsidR="003B0180" w:rsidRPr="00BB03EB" w:rsidRDefault="003B0180" w:rsidP="003B0180">
            <w:pPr>
              <w:spacing w:line="320" w:lineRule="atLeast"/>
              <w:jc w:val="right"/>
              <w:rPr>
                <w:rFonts w:cs="Arial"/>
                <w:bCs/>
              </w:rPr>
            </w:pPr>
            <w:r w:rsidRPr="00BB03EB">
              <w:rPr>
                <w:rFonts w:cs="Arial"/>
                <w:bCs/>
              </w:rPr>
              <w:t>325 350 Kč</w:t>
            </w:r>
          </w:p>
        </w:tc>
      </w:tr>
      <w:tr w:rsidR="00BB03EB" w:rsidRPr="00BB03EB" w14:paraId="5BF45B50" w14:textId="77777777" w:rsidTr="00531689">
        <w:trPr>
          <w:trHeight w:val="315"/>
        </w:trPr>
        <w:tc>
          <w:tcPr>
            <w:tcW w:w="2386" w:type="dxa"/>
          </w:tcPr>
          <w:p w14:paraId="0F26FBA5" w14:textId="071CBA5D" w:rsidR="003B0180" w:rsidRPr="00BB03EB" w:rsidRDefault="003B0180" w:rsidP="003B0180">
            <w:pPr>
              <w:spacing w:line="320" w:lineRule="atLeast"/>
              <w:jc w:val="center"/>
              <w:rPr>
                <w:rFonts w:cs="Arial"/>
                <w:bCs/>
              </w:rPr>
            </w:pPr>
            <w:r w:rsidRPr="00BB03EB">
              <w:rPr>
                <w:rFonts w:cs="Arial"/>
                <w:bCs/>
              </w:rPr>
              <w:t>1.1.2023 – 31.12.2023</w:t>
            </w:r>
          </w:p>
        </w:tc>
        <w:tc>
          <w:tcPr>
            <w:tcW w:w="2386" w:type="dxa"/>
          </w:tcPr>
          <w:p w14:paraId="6590A5DB" w14:textId="1A6D16E1" w:rsidR="003B0180" w:rsidRPr="00BB03EB" w:rsidRDefault="003B0180" w:rsidP="003B0180">
            <w:pPr>
              <w:spacing w:line="320" w:lineRule="atLeast"/>
              <w:jc w:val="center"/>
              <w:rPr>
                <w:rFonts w:cs="Arial"/>
                <w:bCs/>
              </w:rPr>
            </w:pPr>
            <w:r w:rsidRPr="00BB03EB">
              <w:rPr>
                <w:rFonts w:cs="Arial"/>
                <w:bCs/>
              </w:rPr>
              <w:t>3</w:t>
            </w:r>
          </w:p>
        </w:tc>
        <w:tc>
          <w:tcPr>
            <w:tcW w:w="2386" w:type="dxa"/>
          </w:tcPr>
          <w:p w14:paraId="7937B63F" w14:textId="66137CB2" w:rsidR="003B0180" w:rsidRPr="00BB03EB" w:rsidRDefault="003B0180" w:rsidP="003B0180">
            <w:pPr>
              <w:spacing w:line="320" w:lineRule="atLeast"/>
              <w:jc w:val="right"/>
              <w:rPr>
                <w:rFonts w:cs="Arial"/>
                <w:bCs/>
              </w:rPr>
            </w:pPr>
            <w:r w:rsidRPr="00BB03EB">
              <w:rPr>
                <w:rFonts w:cs="Arial"/>
                <w:bCs/>
              </w:rPr>
              <w:t>0 Kč</w:t>
            </w:r>
          </w:p>
        </w:tc>
        <w:tc>
          <w:tcPr>
            <w:tcW w:w="2386" w:type="dxa"/>
          </w:tcPr>
          <w:p w14:paraId="69577A1B" w14:textId="14A39308" w:rsidR="003B0180" w:rsidRPr="00BB03EB" w:rsidRDefault="003B0180" w:rsidP="003B0180">
            <w:pPr>
              <w:spacing w:line="320" w:lineRule="atLeast"/>
              <w:jc w:val="right"/>
              <w:rPr>
                <w:rFonts w:cs="Arial"/>
                <w:bCs/>
              </w:rPr>
            </w:pPr>
            <w:r w:rsidRPr="00BB03EB">
              <w:rPr>
                <w:rFonts w:cs="Arial"/>
                <w:bCs/>
              </w:rPr>
              <w:t>79 882 Kč</w:t>
            </w:r>
          </w:p>
        </w:tc>
      </w:tr>
      <w:tr w:rsidR="00BB03EB" w:rsidRPr="00BB03EB" w14:paraId="6E49C926" w14:textId="77777777" w:rsidTr="00531689">
        <w:trPr>
          <w:trHeight w:val="315"/>
        </w:trPr>
        <w:tc>
          <w:tcPr>
            <w:tcW w:w="2386" w:type="dxa"/>
          </w:tcPr>
          <w:p w14:paraId="485FEF6B" w14:textId="6183C8CF" w:rsidR="003B0180" w:rsidRPr="00BB03EB" w:rsidRDefault="003B0180" w:rsidP="003B0180">
            <w:pPr>
              <w:spacing w:line="320" w:lineRule="atLeast"/>
              <w:jc w:val="center"/>
              <w:rPr>
                <w:rFonts w:cs="Arial"/>
                <w:bCs/>
              </w:rPr>
            </w:pPr>
            <w:r w:rsidRPr="00BB03EB">
              <w:rPr>
                <w:rFonts w:cs="Arial"/>
                <w:bCs/>
              </w:rPr>
              <w:t>1.1.2024 – 31.12.2024</w:t>
            </w:r>
          </w:p>
        </w:tc>
        <w:tc>
          <w:tcPr>
            <w:tcW w:w="2386" w:type="dxa"/>
          </w:tcPr>
          <w:p w14:paraId="2370B02B" w14:textId="624C4FA1" w:rsidR="003B0180" w:rsidRPr="00BB03EB" w:rsidRDefault="003B0180" w:rsidP="003B0180">
            <w:pPr>
              <w:spacing w:line="320" w:lineRule="atLeast"/>
              <w:jc w:val="center"/>
              <w:rPr>
                <w:rFonts w:cs="Arial"/>
                <w:bCs/>
              </w:rPr>
            </w:pPr>
            <w:r w:rsidRPr="00BB03EB">
              <w:rPr>
                <w:rFonts w:cs="Arial"/>
                <w:bCs/>
              </w:rPr>
              <w:t>8</w:t>
            </w:r>
          </w:p>
        </w:tc>
        <w:tc>
          <w:tcPr>
            <w:tcW w:w="2386" w:type="dxa"/>
          </w:tcPr>
          <w:p w14:paraId="3523225C" w14:textId="2497B665" w:rsidR="003B0180" w:rsidRPr="00BB03EB" w:rsidRDefault="003B0180" w:rsidP="003B0180">
            <w:pPr>
              <w:spacing w:line="320" w:lineRule="atLeast"/>
              <w:jc w:val="right"/>
              <w:rPr>
                <w:rFonts w:cs="Arial"/>
                <w:bCs/>
              </w:rPr>
            </w:pPr>
            <w:r w:rsidRPr="00BB03EB">
              <w:rPr>
                <w:rFonts w:cs="Arial"/>
                <w:bCs/>
              </w:rPr>
              <w:t>0 Kč</w:t>
            </w:r>
          </w:p>
        </w:tc>
        <w:tc>
          <w:tcPr>
            <w:tcW w:w="2386" w:type="dxa"/>
          </w:tcPr>
          <w:p w14:paraId="1FE9FADE" w14:textId="6B3D1189" w:rsidR="003B0180" w:rsidRPr="00BB03EB" w:rsidRDefault="003B0180" w:rsidP="003B0180">
            <w:pPr>
              <w:spacing w:line="320" w:lineRule="atLeast"/>
              <w:jc w:val="right"/>
              <w:rPr>
                <w:rFonts w:cs="Arial"/>
                <w:bCs/>
              </w:rPr>
            </w:pPr>
            <w:r w:rsidRPr="00BB03EB">
              <w:rPr>
                <w:rFonts w:cs="Arial"/>
                <w:bCs/>
              </w:rPr>
              <w:t>334 940 Kč</w:t>
            </w:r>
          </w:p>
        </w:tc>
      </w:tr>
      <w:tr w:rsidR="003B0180" w:rsidRPr="00BB03EB" w14:paraId="7FF67F0C" w14:textId="77777777" w:rsidTr="00531689">
        <w:trPr>
          <w:trHeight w:val="333"/>
        </w:trPr>
        <w:tc>
          <w:tcPr>
            <w:tcW w:w="2386" w:type="dxa"/>
          </w:tcPr>
          <w:p w14:paraId="1FB6A0FB" w14:textId="7647216A" w:rsidR="003B0180" w:rsidRPr="00BB03EB" w:rsidRDefault="003B0180" w:rsidP="003B0180">
            <w:pPr>
              <w:spacing w:line="320" w:lineRule="atLeast"/>
              <w:jc w:val="center"/>
              <w:rPr>
                <w:rFonts w:cs="Arial"/>
                <w:bCs/>
              </w:rPr>
            </w:pPr>
            <w:r w:rsidRPr="00BB03EB">
              <w:rPr>
                <w:rFonts w:cs="Arial"/>
                <w:bCs/>
              </w:rPr>
              <w:t>1.1.2025 – 13.5.2025</w:t>
            </w:r>
          </w:p>
        </w:tc>
        <w:tc>
          <w:tcPr>
            <w:tcW w:w="2386" w:type="dxa"/>
          </w:tcPr>
          <w:p w14:paraId="3C4A7F7F" w14:textId="2C85C120" w:rsidR="003B0180" w:rsidRPr="00BB03EB" w:rsidRDefault="003B0180" w:rsidP="003B0180">
            <w:pPr>
              <w:spacing w:line="320" w:lineRule="atLeast"/>
              <w:jc w:val="center"/>
              <w:rPr>
                <w:rFonts w:cs="Arial"/>
                <w:bCs/>
              </w:rPr>
            </w:pPr>
            <w:r w:rsidRPr="00BB03EB">
              <w:rPr>
                <w:rFonts w:cs="Arial"/>
                <w:bCs/>
              </w:rPr>
              <w:t>3</w:t>
            </w:r>
          </w:p>
        </w:tc>
        <w:tc>
          <w:tcPr>
            <w:tcW w:w="2386" w:type="dxa"/>
          </w:tcPr>
          <w:p w14:paraId="1109FB77" w14:textId="18A7F8E8" w:rsidR="003B0180" w:rsidRPr="00BB03EB" w:rsidRDefault="003B0180" w:rsidP="003B0180">
            <w:pPr>
              <w:spacing w:line="320" w:lineRule="atLeast"/>
              <w:jc w:val="right"/>
              <w:rPr>
                <w:rFonts w:cs="Arial"/>
                <w:bCs/>
              </w:rPr>
            </w:pPr>
            <w:r w:rsidRPr="00BB03EB">
              <w:rPr>
                <w:rFonts w:cs="Arial"/>
                <w:bCs/>
              </w:rPr>
              <w:t>0 Kč</w:t>
            </w:r>
          </w:p>
        </w:tc>
        <w:tc>
          <w:tcPr>
            <w:tcW w:w="2386" w:type="dxa"/>
          </w:tcPr>
          <w:p w14:paraId="4700ACEB" w14:textId="1EBBE354" w:rsidR="003B0180" w:rsidRPr="00BB03EB" w:rsidRDefault="003B0180" w:rsidP="003B0180">
            <w:pPr>
              <w:spacing w:line="320" w:lineRule="atLeast"/>
              <w:jc w:val="right"/>
              <w:rPr>
                <w:rFonts w:cs="Arial"/>
                <w:bCs/>
              </w:rPr>
            </w:pPr>
            <w:r w:rsidRPr="00BB03EB">
              <w:rPr>
                <w:rFonts w:cs="Arial"/>
                <w:bCs/>
              </w:rPr>
              <w:t>82 057 Kč</w:t>
            </w:r>
          </w:p>
        </w:tc>
      </w:tr>
    </w:tbl>
    <w:p w14:paraId="2E74DABC" w14:textId="77777777" w:rsidR="008274D5" w:rsidRPr="00BB03EB" w:rsidRDefault="008274D5" w:rsidP="008274D5">
      <w:pPr>
        <w:spacing w:line="320" w:lineRule="atLeast"/>
        <w:jc w:val="both"/>
        <w:rPr>
          <w:rFonts w:ascii="Verdana" w:hAnsi="Verdana" w:cs="Arial"/>
          <w:bCs/>
        </w:rPr>
      </w:pPr>
    </w:p>
    <w:p w14:paraId="53F81D03" w14:textId="77777777" w:rsidR="008274D5" w:rsidRPr="00BB03EB" w:rsidRDefault="008274D5" w:rsidP="008274D5">
      <w:pPr>
        <w:spacing w:line="320" w:lineRule="atLeast"/>
        <w:jc w:val="both"/>
        <w:rPr>
          <w:rFonts w:cs="Arial"/>
          <w:b/>
          <w:bCs/>
          <w:szCs w:val="20"/>
        </w:rPr>
      </w:pPr>
      <w:r w:rsidRPr="00BB03EB">
        <w:rPr>
          <w:rFonts w:cs="Arial"/>
          <w:b/>
          <w:bCs/>
          <w:szCs w:val="20"/>
        </w:rPr>
        <w:t>b)</w:t>
      </w:r>
      <w:r w:rsidRPr="00BB03EB">
        <w:rPr>
          <w:rFonts w:cs="Arial"/>
          <w:b/>
          <w:bCs/>
          <w:szCs w:val="20"/>
        </w:rPr>
        <w:tab/>
        <w:t>Pojištění odpovědnosti</w:t>
      </w:r>
    </w:p>
    <w:p w14:paraId="707DD733" w14:textId="77777777" w:rsidR="008274D5" w:rsidRPr="00BB03EB" w:rsidRDefault="008274D5" w:rsidP="008274D5">
      <w:pPr>
        <w:spacing w:line="320" w:lineRule="atLeast"/>
        <w:jc w:val="both"/>
        <w:rPr>
          <w:rFonts w:ascii="Verdana" w:hAnsi="Verdana" w:cs="Arial"/>
          <w:b/>
          <w:bCs/>
          <w:szCs w:val="20"/>
        </w:rPr>
      </w:pP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2386"/>
        <w:gridCol w:w="2386"/>
        <w:gridCol w:w="2386"/>
      </w:tblGrid>
      <w:tr w:rsidR="00BB03EB" w:rsidRPr="00BB03EB" w14:paraId="12D08BF5" w14:textId="77777777" w:rsidTr="00BB03EB">
        <w:trPr>
          <w:trHeight w:val="379"/>
        </w:trPr>
        <w:tc>
          <w:tcPr>
            <w:tcW w:w="2386" w:type="dxa"/>
            <w:shd w:val="clear" w:color="auto" w:fill="808080" w:themeFill="background1" w:themeFillShade="80"/>
          </w:tcPr>
          <w:p w14:paraId="26B5BAF0" w14:textId="77777777" w:rsidR="008274D5" w:rsidRPr="00BB03EB" w:rsidRDefault="008274D5" w:rsidP="00531689">
            <w:pPr>
              <w:spacing w:line="320" w:lineRule="atLeast"/>
              <w:jc w:val="center"/>
              <w:rPr>
                <w:rFonts w:cs="Arial"/>
                <w:b/>
              </w:rPr>
            </w:pPr>
            <w:r w:rsidRPr="00BB03EB">
              <w:rPr>
                <w:rFonts w:cs="Arial"/>
                <w:b/>
              </w:rPr>
              <w:t>Období</w:t>
            </w:r>
          </w:p>
        </w:tc>
        <w:tc>
          <w:tcPr>
            <w:tcW w:w="2386" w:type="dxa"/>
            <w:shd w:val="clear" w:color="auto" w:fill="808080" w:themeFill="background1" w:themeFillShade="80"/>
          </w:tcPr>
          <w:p w14:paraId="24D142F6" w14:textId="77777777" w:rsidR="008274D5" w:rsidRPr="00BB03EB" w:rsidRDefault="008274D5" w:rsidP="00531689">
            <w:pPr>
              <w:spacing w:line="320" w:lineRule="atLeast"/>
              <w:jc w:val="center"/>
              <w:rPr>
                <w:rFonts w:cs="Arial"/>
                <w:b/>
              </w:rPr>
            </w:pPr>
            <w:r w:rsidRPr="00BB03EB">
              <w:rPr>
                <w:rFonts w:cs="Arial"/>
                <w:b/>
              </w:rPr>
              <w:t>Počet škod</w:t>
            </w:r>
          </w:p>
        </w:tc>
        <w:tc>
          <w:tcPr>
            <w:tcW w:w="2386" w:type="dxa"/>
            <w:shd w:val="clear" w:color="auto" w:fill="808080" w:themeFill="background1" w:themeFillShade="80"/>
          </w:tcPr>
          <w:p w14:paraId="0B028C92" w14:textId="77777777" w:rsidR="008274D5" w:rsidRPr="00BB03EB" w:rsidRDefault="008274D5" w:rsidP="00531689">
            <w:pPr>
              <w:spacing w:line="320" w:lineRule="atLeast"/>
              <w:jc w:val="center"/>
              <w:rPr>
                <w:rFonts w:cs="Arial"/>
                <w:b/>
              </w:rPr>
            </w:pPr>
            <w:r w:rsidRPr="00BB03EB">
              <w:rPr>
                <w:rFonts w:cs="Arial"/>
                <w:b/>
              </w:rPr>
              <w:t>Rezerva</w:t>
            </w:r>
          </w:p>
        </w:tc>
        <w:tc>
          <w:tcPr>
            <w:tcW w:w="2386" w:type="dxa"/>
            <w:shd w:val="clear" w:color="auto" w:fill="808080" w:themeFill="background1" w:themeFillShade="80"/>
          </w:tcPr>
          <w:p w14:paraId="7BD76F2A" w14:textId="77777777" w:rsidR="008274D5" w:rsidRPr="00BB03EB" w:rsidRDefault="008274D5" w:rsidP="00531689">
            <w:pPr>
              <w:spacing w:line="320" w:lineRule="atLeast"/>
              <w:jc w:val="center"/>
              <w:rPr>
                <w:rFonts w:cs="Arial"/>
                <w:b/>
              </w:rPr>
            </w:pPr>
            <w:r w:rsidRPr="00BB03EB">
              <w:rPr>
                <w:rFonts w:cs="Arial"/>
                <w:b/>
              </w:rPr>
              <w:t>Pojistné plnění</w:t>
            </w:r>
          </w:p>
        </w:tc>
      </w:tr>
      <w:tr w:rsidR="00BB03EB" w:rsidRPr="00BB03EB" w14:paraId="4C66C25B" w14:textId="77777777" w:rsidTr="00531689">
        <w:trPr>
          <w:trHeight w:val="333"/>
        </w:trPr>
        <w:tc>
          <w:tcPr>
            <w:tcW w:w="2386" w:type="dxa"/>
          </w:tcPr>
          <w:p w14:paraId="6595E67B" w14:textId="59F8FA8D" w:rsidR="003B0180" w:rsidRPr="00BB03EB" w:rsidRDefault="003B0180" w:rsidP="003B0180">
            <w:pPr>
              <w:spacing w:line="320" w:lineRule="atLeast"/>
              <w:jc w:val="center"/>
              <w:rPr>
                <w:rFonts w:cs="Arial"/>
                <w:bCs/>
              </w:rPr>
            </w:pPr>
            <w:r w:rsidRPr="00BB03EB">
              <w:rPr>
                <w:rFonts w:cs="Arial"/>
                <w:bCs/>
              </w:rPr>
              <w:t>1.1.2021 – 31.12.2021</w:t>
            </w:r>
          </w:p>
        </w:tc>
        <w:tc>
          <w:tcPr>
            <w:tcW w:w="2386" w:type="dxa"/>
          </w:tcPr>
          <w:p w14:paraId="42B7EA87" w14:textId="410E9509" w:rsidR="003B0180" w:rsidRPr="00BB03EB" w:rsidRDefault="003B0180" w:rsidP="003B0180">
            <w:pPr>
              <w:spacing w:line="320" w:lineRule="atLeast"/>
              <w:jc w:val="center"/>
              <w:rPr>
                <w:rFonts w:cs="Arial"/>
                <w:bCs/>
              </w:rPr>
            </w:pPr>
            <w:r w:rsidRPr="00BB03EB">
              <w:rPr>
                <w:rFonts w:cs="Arial"/>
                <w:bCs/>
              </w:rPr>
              <w:t>10</w:t>
            </w:r>
          </w:p>
        </w:tc>
        <w:tc>
          <w:tcPr>
            <w:tcW w:w="2386" w:type="dxa"/>
          </w:tcPr>
          <w:p w14:paraId="24AD21D3" w14:textId="67FA1EE9" w:rsidR="003B0180" w:rsidRPr="00BB03EB" w:rsidRDefault="003B0180" w:rsidP="003B0180">
            <w:pPr>
              <w:spacing w:line="320" w:lineRule="atLeast"/>
              <w:jc w:val="right"/>
              <w:rPr>
                <w:rFonts w:cs="Arial"/>
                <w:bCs/>
              </w:rPr>
            </w:pPr>
            <w:r w:rsidRPr="00BB03EB">
              <w:rPr>
                <w:rFonts w:cs="Arial"/>
                <w:bCs/>
              </w:rPr>
              <w:t>0 Kč</w:t>
            </w:r>
          </w:p>
        </w:tc>
        <w:tc>
          <w:tcPr>
            <w:tcW w:w="2386" w:type="dxa"/>
          </w:tcPr>
          <w:p w14:paraId="20F75AE5" w14:textId="7BF5CD4C" w:rsidR="003B0180" w:rsidRPr="00BB03EB" w:rsidRDefault="003B0180" w:rsidP="003B0180">
            <w:pPr>
              <w:spacing w:line="320" w:lineRule="atLeast"/>
              <w:jc w:val="right"/>
              <w:rPr>
                <w:rFonts w:cs="Arial"/>
                <w:bCs/>
              </w:rPr>
            </w:pPr>
            <w:r w:rsidRPr="00BB03EB">
              <w:rPr>
                <w:rFonts w:cs="Arial"/>
                <w:bCs/>
              </w:rPr>
              <w:t>45 197 Kč</w:t>
            </w:r>
          </w:p>
        </w:tc>
      </w:tr>
      <w:tr w:rsidR="00BB03EB" w:rsidRPr="00BB03EB" w14:paraId="38236AB8" w14:textId="77777777" w:rsidTr="00531689">
        <w:trPr>
          <w:trHeight w:val="315"/>
        </w:trPr>
        <w:tc>
          <w:tcPr>
            <w:tcW w:w="2386" w:type="dxa"/>
          </w:tcPr>
          <w:p w14:paraId="1D3AFB9F" w14:textId="3FB0CFAF" w:rsidR="003B0180" w:rsidRPr="00BB03EB" w:rsidRDefault="003B0180" w:rsidP="003B0180">
            <w:pPr>
              <w:spacing w:line="320" w:lineRule="atLeast"/>
              <w:jc w:val="center"/>
              <w:rPr>
                <w:rFonts w:cs="Arial"/>
                <w:bCs/>
              </w:rPr>
            </w:pPr>
            <w:r w:rsidRPr="00BB03EB">
              <w:rPr>
                <w:rFonts w:cs="Arial"/>
                <w:bCs/>
              </w:rPr>
              <w:t>1.1.2022 – 31.12.2022</w:t>
            </w:r>
          </w:p>
        </w:tc>
        <w:tc>
          <w:tcPr>
            <w:tcW w:w="2386" w:type="dxa"/>
          </w:tcPr>
          <w:p w14:paraId="7AD3BF13" w14:textId="3BCAADE4" w:rsidR="003B0180" w:rsidRPr="00BB03EB" w:rsidRDefault="003B0180" w:rsidP="003B0180">
            <w:pPr>
              <w:spacing w:line="320" w:lineRule="atLeast"/>
              <w:jc w:val="center"/>
              <w:rPr>
                <w:rFonts w:cs="Arial"/>
                <w:bCs/>
              </w:rPr>
            </w:pPr>
            <w:r w:rsidRPr="00BB03EB">
              <w:rPr>
                <w:rFonts w:cs="Arial"/>
                <w:bCs/>
              </w:rPr>
              <w:t>26</w:t>
            </w:r>
          </w:p>
        </w:tc>
        <w:tc>
          <w:tcPr>
            <w:tcW w:w="2386" w:type="dxa"/>
          </w:tcPr>
          <w:p w14:paraId="28564493" w14:textId="697DDA98" w:rsidR="003B0180" w:rsidRPr="00BB03EB" w:rsidRDefault="003B0180" w:rsidP="003B0180">
            <w:pPr>
              <w:spacing w:line="320" w:lineRule="atLeast"/>
              <w:jc w:val="right"/>
              <w:rPr>
                <w:rFonts w:cs="Arial"/>
                <w:bCs/>
              </w:rPr>
            </w:pPr>
            <w:r w:rsidRPr="00BB03EB">
              <w:rPr>
                <w:rFonts w:cs="Arial"/>
                <w:bCs/>
              </w:rPr>
              <w:t>4 000 Kč</w:t>
            </w:r>
          </w:p>
        </w:tc>
        <w:tc>
          <w:tcPr>
            <w:tcW w:w="2386" w:type="dxa"/>
          </w:tcPr>
          <w:p w14:paraId="10917ADF" w14:textId="1C37E019" w:rsidR="003B0180" w:rsidRPr="00BB03EB" w:rsidRDefault="003B0180" w:rsidP="003B0180">
            <w:pPr>
              <w:spacing w:line="320" w:lineRule="atLeast"/>
              <w:jc w:val="right"/>
              <w:rPr>
                <w:rFonts w:cs="Arial"/>
                <w:bCs/>
              </w:rPr>
            </w:pPr>
            <w:r w:rsidRPr="00BB03EB">
              <w:rPr>
                <w:rFonts w:cs="Arial"/>
                <w:bCs/>
              </w:rPr>
              <w:t>158 775 Kč</w:t>
            </w:r>
          </w:p>
        </w:tc>
      </w:tr>
      <w:tr w:rsidR="00BB03EB" w:rsidRPr="00BB03EB" w14:paraId="47FAC4EE" w14:textId="77777777" w:rsidTr="00531689">
        <w:trPr>
          <w:trHeight w:val="333"/>
        </w:trPr>
        <w:tc>
          <w:tcPr>
            <w:tcW w:w="2386" w:type="dxa"/>
          </w:tcPr>
          <w:p w14:paraId="41C1E70A" w14:textId="7D1C4BF4" w:rsidR="003B0180" w:rsidRPr="00BB03EB" w:rsidRDefault="003B0180" w:rsidP="003B0180">
            <w:pPr>
              <w:spacing w:line="320" w:lineRule="atLeast"/>
              <w:jc w:val="center"/>
              <w:rPr>
                <w:rFonts w:cs="Arial"/>
                <w:bCs/>
              </w:rPr>
            </w:pPr>
            <w:r w:rsidRPr="00BB03EB">
              <w:rPr>
                <w:rFonts w:cs="Arial"/>
                <w:bCs/>
              </w:rPr>
              <w:t>1.1.2023 – 31.12.2023</w:t>
            </w:r>
          </w:p>
        </w:tc>
        <w:tc>
          <w:tcPr>
            <w:tcW w:w="2386" w:type="dxa"/>
          </w:tcPr>
          <w:p w14:paraId="46C94E70" w14:textId="269CE19F" w:rsidR="003B0180" w:rsidRPr="00BB03EB" w:rsidRDefault="003B0180" w:rsidP="003B0180">
            <w:pPr>
              <w:spacing w:line="320" w:lineRule="atLeast"/>
              <w:jc w:val="center"/>
              <w:rPr>
                <w:rFonts w:cs="Arial"/>
                <w:bCs/>
              </w:rPr>
            </w:pPr>
            <w:r w:rsidRPr="00BB03EB">
              <w:rPr>
                <w:rFonts w:cs="Arial"/>
                <w:bCs/>
              </w:rPr>
              <w:t>27</w:t>
            </w:r>
          </w:p>
        </w:tc>
        <w:tc>
          <w:tcPr>
            <w:tcW w:w="2386" w:type="dxa"/>
          </w:tcPr>
          <w:p w14:paraId="33D2F66E" w14:textId="6B884FA0" w:rsidR="003B0180" w:rsidRPr="00BB03EB" w:rsidRDefault="003B0180" w:rsidP="003B0180">
            <w:pPr>
              <w:spacing w:line="320" w:lineRule="atLeast"/>
              <w:jc w:val="right"/>
              <w:rPr>
                <w:rFonts w:cs="Arial"/>
                <w:bCs/>
              </w:rPr>
            </w:pPr>
            <w:r w:rsidRPr="00BB03EB">
              <w:rPr>
                <w:rFonts w:cs="Arial"/>
                <w:bCs/>
              </w:rPr>
              <w:t>0 Kč</w:t>
            </w:r>
          </w:p>
        </w:tc>
        <w:tc>
          <w:tcPr>
            <w:tcW w:w="2386" w:type="dxa"/>
          </w:tcPr>
          <w:p w14:paraId="3F44A856" w14:textId="6763962C" w:rsidR="003B0180" w:rsidRPr="00BB03EB" w:rsidRDefault="003B0180" w:rsidP="003B0180">
            <w:pPr>
              <w:spacing w:line="320" w:lineRule="atLeast"/>
              <w:jc w:val="right"/>
              <w:rPr>
                <w:rFonts w:cs="Arial"/>
                <w:bCs/>
              </w:rPr>
            </w:pPr>
            <w:r w:rsidRPr="00BB03EB">
              <w:rPr>
                <w:rFonts w:cs="Arial"/>
                <w:bCs/>
              </w:rPr>
              <w:t>195 230 Kč</w:t>
            </w:r>
          </w:p>
        </w:tc>
      </w:tr>
      <w:tr w:rsidR="00BB03EB" w:rsidRPr="00BB03EB" w14:paraId="4FFFB986" w14:textId="77777777" w:rsidTr="00531689">
        <w:trPr>
          <w:trHeight w:val="333"/>
        </w:trPr>
        <w:tc>
          <w:tcPr>
            <w:tcW w:w="2386" w:type="dxa"/>
          </w:tcPr>
          <w:p w14:paraId="7A61C88E" w14:textId="419AD89C" w:rsidR="003B0180" w:rsidRPr="00BB03EB" w:rsidRDefault="003B0180" w:rsidP="003B0180">
            <w:pPr>
              <w:spacing w:line="320" w:lineRule="atLeast"/>
              <w:jc w:val="center"/>
              <w:rPr>
                <w:rFonts w:cs="Arial"/>
                <w:bCs/>
              </w:rPr>
            </w:pPr>
            <w:r w:rsidRPr="00BB03EB">
              <w:rPr>
                <w:rFonts w:cs="Arial"/>
                <w:bCs/>
              </w:rPr>
              <w:t>1.1.2024 – 31.12.2024</w:t>
            </w:r>
          </w:p>
        </w:tc>
        <w:tc>
          <w:tcPr>
            <w:tcW w:w="2386" w:type="dxa"/>
          </w:tcPr>
          <w:p w14:paraId="1457F795" w14:textId="7285094C" w:rsidR="003B0180" w:rsidRPr="00BB03EB" w:rsidRDefault="003B0180" w:rsidP="003B0180">
            <w:pPr>
              <w:spacing w:line="320" w:lineRule="atLeast"/>
              <w:jc w:val="center"/>
              <w:rPr>
                <w:rFonts w:cs="Arial"/>
                <w:bCs/>
              </w:rPr>
            </w:pPr>
            <w:r w:rsidRPr="00BB03EB">
              <w:rPr>
                <w:rFonts w:cs="Arial"/>
                <w:bCs/>
              </w:rPr>
              <w:t>36</w:t>
            </w:r>
          </w:p>
        </w:tc>
        <w:tc>
          <w:tcPr>
            <w:tcW w:w="2386" w:type="dxa"/>
          </w:tcPr>
          <w:p w14:paraId="0DC1DCAF" w14:textId="74C2975A" w:rsidR="003B0180" w:rsidRPr="00BB03EB" w:rsidRDefault="003B0180" w:rsidP="003B0180">
            <w:pPr>
              <w:spacing w:line="320" w:lineRule="atLeast"/>
              <w:jc w:val="right"/>
              <w:rPr>
                <w:rFonts w:cs="Arial"/>
                <w:bCs/>
              </w:rPr>
            </w:pPr>
            <w:r w:rsidRPr="00BB03EB">
              <w:rPr>
                <w:rFonts w:cs="Arial"/>
                <w:bCs/>
              </w:rPr>
              <w:t>0 Kč</w:t>
            </w:r>
          </w:p>
        </w:tc>
        <w:tc>
          <w:tcPr>
            <w:tcW w:w="2386" w:type="dxa"/>
          </w:tcPr>
          <w:p w14:paraId="613BD8F9" w14:textId="68354384" w:rsidR="003B0180" w:rsidRPr="00BB03EB" w:rsidRDefault="003B0180" w:rsidP="003B0180">
            <w:pPr>
              <w:spacing w:line="320" w:lineRule="atLeast"/>
              <w:jc w:val="right"/>
              <w:rPr>
                <w:rFonts w:cs="Arial"/>
                <w:bCs/>
              </w:rPr>
            </w:pPr>
            <w:r w:rsidRPr="00BB03EB">
              <w:rPr>
                <w:rFonts w:cs="Arial"/>
                <w:bCs/>
              </w:rPr>
              <w:t>345 286 Kč</w:t>
            </w:r>
          </w:p>
        </w:tc>
      </w:tr>
      <w:tr w:rsidR="003B0180" w:rsidRPr="00BB03EB" w14:paraId="6FB7CA2D" w14:textId="77777777" w:rsidTr="00531689">
        <w:trPr>
          <w:trHeight w:val="333"/>
        </w:trPr>
        <w:tc>
          <w:tcPr>
            <w:tcW w:w="2386" w:type="dxa"/>
          </w:tcPr>
          <w:p w14:paraId="207D2731" w14:textId="6C74B402" w:rsidR="003B0180" w:rsidRPr="00BB03EB" w:rsidRDefault="003B0180" w:rsidP="003B0180">
            <w:pPr>
              <w:spacing w:line="320" w:lineRule="atLeast"/>
              <w:jc w:val="center"/>
              <w:rPr>
                <w:rFonts w:cs="Arial"/>
                <w:bCs/>
              </w:rPr>
            </w:pPr>
            <w:r w:rsidRPr="00BB03EB">
              <w:rPr>
                <w:rFonts w:cs="Arial"/>
                <w:bCs/>
              </w:rPr>
              <w:t>1.1.2025 – 13.5.2025</w:t>
            </w:r>
          </w:p>
        </w:tc>
        <w:tc>
          <w:tcPr>
            <w:tcW w:w="2386" w:type="dxa"/>
          </w:tcPr>
          <w:p w14:paraId="7C5550A6" w14:textId="7FF78016" w:rsidR="003B0180" w:rsidRPr="00BB03EB" w:rsidRDefault="003B0180" w:rsidP="003B0180">
            <w:pPr>
              <w:spacing w:line="320" w:lineRule="atLeast"/>
              <w:jc w:val="center"/>
              <w:rPr>
                <w:rFonts w:cs="Arial"/>
                <w:bCs/>
              </w:rPr>
            </w:pPr>
            <w:r w:rsidRPr="00BB03EB">
              <w:rPr>
                <w:rFonts w:cs="Arial"/>
                <w:bCs/>
              </w:rPr>
              <w:t>6</w:t>
            </w:r>
          </w:p>
        </w:tc>
        <w:tc>
          <w:tcPr>
            <w:tcW w:w="2386" w:type="dxa"/>
          </w:tcPr>
          <w:p w14:paraId="7003E5F1" w14:textId="6C6ED3E1" w:rsidR="003B0180" w:rsidRPr="00BB03EB" w:rsidRDefault="003B0180" w:rsidP="003B0180">
            <w:pPr>
              <w:spacing w:line="320" w:lineRule="atLeast"/>
              <w:jc w:val="right"/>
              <w:rPr>
                <w:rFonts w:cs="Arial"/>
                <w:bCs/>
              </w:rPr>
            </w:pPr>
            <w:r w:rsidRPr="00BB03EB">
              <w:rPr>
                <w:rFonts w:cs="Arial"/>
                <w:bCs/>
              </w:rPr>
              <w:t>21 100 Kč</w:t>
            </w:r>
          </w:p>
        </w:tc>
        <w:tc>
          <w:tcPr>
            <w:tcW w:w="2386" w:type="dxa"/>
          </w:tcPr>
          <w:p w14:paraId="60992F48" w14:textId="4A7653A8" w:rsidR="003B0180" w:rsidRPr="00BB03EB" w:rsidRDefault="003B0180" w:rsidP="003B0180">
            <w:pPr>
              <w:spacing w:line="320" w:lineRule="atLeast"/>
              <w:jc w:val="right"/>
              <w:rPr>
                <w:rFonts w:cs="Arial"/>
                <w:bCs/>
              </w:rPr>
            </w:pPr>
            <w:r w:rsidRPr="00BB03EB">
              <w:rPr>
                <w:rFonts w:cs="Arial"/>
                <w:bCs/>
              </w:rPr>
              <w:t>30 233 Kč</w:t>
            </w:r>
          </w:p>
        </w:tc>
      </w:tr>
    </w:tbl>
    <w:p w14:paraId="78D40533" w14:textId="77777777" w:rsidR="008274D5" w:rsidRPr="00BB03EB" w:rsidRDefault="008274D5" w:rsidP="008274D5">
      <w:pPr>
        <w:spacing w:line="320" w:lineRule="atLeast"/>
        <w:jc w:val="both"/>
        <w:rPr>
          <w:rFonts w:ascii="Verdana" w:hAnsi="Verdana" w:cs="Arial"/>
          <w:bCs/>
        </w:rPr>
      </w:pPr>
    </w:p>
    <w:p w14:paraId="37705CE4" w14:textId="77777777" w:rsidR="008274D5" w:rsidRPr="00BB03EB" w:rsidRDefault="008274D5">
      <w:pPr>
        <w:spacing w:after="160" w:line="259" w:lineRule="auto"/>
        <w:rPr>
          <w:rFonts w:cs="Arial"/>
          <w:b/>
          <w:bCs/>
          <w:sz w:val="22"/>
          <w:szCs w:val="22"/>
        </w:rPr>
      </w:pPr>
    </w:p>
    <w:p w14:paraId="4E7B1AB4" w14:textId="7C9EEE27" w:rsidR="007744FF" w:rsidRPr="00BB03EB" w:rsidRDefault="007744FF" w:rsidP="007744FF">
      <w:pPr>
        <w:numPr>
          <w:ilvl w:val="0"/>
          <w:numId w:val="1"/>
        </w:numPr>
        <w:tabs>
          <w:tab w:val="clear" w:pos="720"/>
          <w:tab w:val="num" w:pos="567"/>
        </w:tabs>
        <w:spacing w:line="320" w:lineRule="atLeast"/>
        <w:ind w:left="567" w:hanging="567"/>
        <w:jc w:val="both"/>
        <w:rPr>
          <w:rFonts w:cs="Arial"/>
          <w:b/>
          <w:bCs/>
          <w:sz w:val="22"/>
          <w:szCs w:val="22"/>
        </w:rPr>
      </w:pPr>
      <w:r w:rsidRPr="00BB03EB">
        <w:rPr>
          <w:rFonts w:cs="Arial"/>
          <w:b/>
          <w:bCs/>
          <w:sz w:val="22"/>
          <w:szCs w:val="22"/>
        </w:rPr>
        <w:t>Bonifikace za příznivý škodní průběh</w:t>
      </w:r>
    </w:p>
    <w:p w14:paraId="0A34E061" w14:textId="77777777" w:rsidR="00D67DEF" w:rsidRPr="00BB03EB" w:rsidRDefault="00D67DEF" w:rsidP="00D67DEF">
      <w:pPr>
        <w:spacing w:line="320" w:lineRule="atLeast"/>
        <w:jc w:val="both"/>
        <w:rPr>
          <w:rFonts w:cs="Arial"/>
          <w:b/>
          <w:bCs/>
          <w:sz w:val="22"/>
          <w:szCs w:val="22"/>
        </w:rPr>
      </w:pPr>
    </w:p>
    <w:p w14:paraId="485BE40B" w14:textId="77777777" w:rsidR="00AA42F4" w:rsidRPr="00BB03EB" w:rsidRDefault="00AA42F4" w:rsidP="00AA42F4">
      <w:pPr>
        <w:spacing w:line="298" w:lineRule="auto"/>
        <w:jc w:val="both"/>
      </w:pPr>
      <w:r w:rsidRPr="00BB03EB">
        <w:t>Pojišťovna na základě písemné žádosti pojistníka provede vyhodnocení škodního průběhu pojistné smlouvy a v případě příznivého škodního průběhu za uplynulý pojistný rok přizná pojišťovna na žádost pojistníka bonifikaci z uhrazeného pojistného v následující výši:</w:t>
      </w:r>
    </w:p>
    <w:p w14:paraId="08485EEE" w14:textId="77777777" w:rsidR="00AA42F4" w:rsidRPr="00BB03EB" w:rsidRDefault="00AA42F4" w:rsidP="00AA42F4">
      <w:pPr>
        <w:rPr>
          <w:sz w:val="24"/>
        </w:rPr>
      </w:pPr>
    </w:p>
    <w:tbl>
      <w:tblPr>
        <w:tblW w:w="4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020"/>
        <w:gridCol w:w="1700"/>
      </w:tblGrid>
      <w:tr w:rsidR="00BB03EB" w:rsidRPr="00BB03EB" w14:paraId="47D85D05" w14:textId="77777777" w:rsidTr="00AA4704">
        <w:trPr>
          <w:trHeight w:val="292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E7746" w14:textId="77777777" w:rsidR="00AA42F4" w:rsidRPr="00BB03EB" w:rsidRDefault="00AA42F4" w:rsidP="00AA4704">
            <w:pPr>
              <w:jc w:val="center"/>
              <w:rPr>
                <w:rFonts w:cs="Arial"/>
                <w:szCs w:val="22"/>
              </w:rPr>
            </w:pPr>
            <w:r w:rsidRPr="00BB03EB">
              <w:rPr>
                <w:rFonts w:cs="Arial"/>
                <w:szCs w:val="22"/>
              </w:rPr>
              <w:t>Škodní průběh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295B7" w14:textId="77777777" w:rsidR="00AA42F4" w:rsidRPr="00BB03EB" w:rsidRDefault="00AA42F4" w:rsidP="00AA470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66CCB" w14:textId="77777777" w:rsidR="00AA42F4" w:rsidRPr="00BB03EB" w:rsidRDefault="00AA42F4" w:rsidP="00AA4704">
            <w:pPr>
              <w:rPr>
                <w:rFonts w:cs="Arial"/>
                <w:szCs w:val="22"/>
              </w:rPr>
            </w:pPr>
            <w:r w:rsidRPr="00BB03EB">
              <w:rPr>
                <w:rFonts w:cs="Arial"/>
                <w:szCs w:val="22"/>
              </w:rPr>
              <w:t>Výše bonifikace</w:t>
            </w:r>
          </w:p>
        </w:tc>
      </w:tr>
      <w:tr w:rsidR="00BB03EB" w:rsidRPr="00BB03EB" w14:paraId="4F5EE817" w14:textId="77777777" w:rsidTr="00AA4704">
        <w:trPr>
          <w:trHeight w:val="292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56846" w14:textId="77777777" w:rsidR="00AA42F4" w:rsidRPr="00BB03EB" w:rsidRDefault="00AA42F4" w:rsidP="00AA4704">
            <w:pPr>
              <w:jc w:val="center"/>
              <w:rPr>
                <w:rFonts w:cs="Arial"/>
                <w:szCs w:val="22"/>
              </w:rPr>
            </w:pPr>
            <w:r w:rsidRPr="00BB03EB">
              <w:rPr>
                <w:rFonts w:cs="Arial"/>
                <w:szCs w:val="22"/>
              </w:rPr>
              <w:t>0-5%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E2F00" w14:textId="77777777" w:rsidR="00AA42F4" w:rsidRPr="00BB03EB" w:rsidRDefault="00AA42F4" w:rsidP="00AA470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E1094" w14:textId="10145FA6" w:rsidR="00AA42F4" w:rsidRPr="00BB03EB" w:rsidRDefault="00D10043" w:rsidP="00AA4704">
            <w:pPr>
              <w:jc w:val="center"/>
              <w:rPr>
                <w:rFonts w:cs="Arial"/>
                <w:szCs w:val="22"/>
              </w:rPr>
            </w:pPr>
            <w:r w:rsidRPr="00BB03EB">
              <w:rPr>
                <w:rFonts w:cs="Arial"/>
                <w:szCs w:val="22"/>
              </w:rPr>
              <w:t>15</w:t>
            </w:r>
            <w:r w:rsidR="00AA42F4" w:rsidRPr="00BB03EB">
              <w:rPr>
                <w:rFonts w:cs="Arial"/>
                <w:szCs w:val="22"/>
              </w:rPr>
              <w:t>%</w:t>
            </w:r>
          </w:p>
        </w:tc>
      </w:tr>
      <w:tr w:rsidR="00BB03EB" w:rsidRPr="00BB03EB" w14:paraId="13E716A0" w14:textId="77777777" w:rsidTr="00AA4704">
        <w:trPr>
          <w:trHeight w:val="292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A8A9C" w14:textId="52C756F1" w:rsidR="00AA42F4" w:rsidRPr="00BB03EB" w:rsidRDefault="00AA42F4" w:rsidP="00AA4704">
            <w:pPr>
              <w:jc w:val="center"/>
              <w:rPr>
                <w:rFonts w:cs="Arial"/>
                <w:szCs w:val="22"/>
              </w:rPr>
            </w:pPr>
            <w:r w:rsidRPr="00BB03EB">
              <w:rPr>
                <w:rFonts w:cs="Arial"/>
                <w:szCs w:val="22"/>
              </w:rPr>
              <w:t>od 5,01% do 10%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42464" w14:textId="77777777" w:rsidR="00AA42F4" w:rsidRPr="00BB03EB" w:rsidRDefault="00AA42F4" w:rsidP="00AA470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4E021" w14:textId="77777777" w:rsidR="00AA42F4" w:rsidRPr="00BB03EB" w:rsidRDefault="00AA42F4" w:rsidP="00AA4704">
            <w:pPr>
              <w:jc w:val="center"/>
              <w:rPr>
                <w:rFonts w:cs="Arial"/>
                <w:szCs w:val="22"/>
              </w:rPr>
            </w:pPr>
            <w:r w:rsidRPr="00BB03EB">
              <w:rPr>
                <w:rFonts w:cs="Arial"/>
                <w:szCs w:val="22"/>
              </w:rPr>
              <w:t>10%</w:t>
            </w:r>
          </w:p>
        </w:tc>
      </w:tr>
      <w:tr w:rsidR="00AA42F4" w:rsidRPr="00BB03EB" w14:paraId="53634D59" w14:textId="77777777" w:rsidTr="00AA4704">
        <w:trPr>
          <w:trHeight w:val="292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BBA4A" w14:textId="77777777" w:rsidR="00AA42F4" w:rsidRPr="00BB03EB" w:rsidRDefault="00AA42F4" w:rsidP="00AA4704">
            <w:pPr>
              <w:jc w:val="center"/>
              <w:rPr>
                <w:rFonts w:cs="Arial"/>
                <w:szCs w:val="22"/>
              </w:rPr>
            </w:pPr>
            <w:r w:rsidRPr="00BB03EB">
              <w:rPr>
                <w:rFonts w:cs="Arial"/>
                <w:szCs w:val="22"/>
              </w:rPr>
              <w:t>od 10,01% do 20%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66B46" w14:textId="77777777" w:rsidR="00AA42F4" w:rsidRPr="00BB03EB" w:rsidRDefault="00AA42F4" w:rsidP="00AA470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E0D5C" w14:textId="77777777" w:rsidR="00AA42F4" w:rsidRPr="00BB03EB" w:rsidRDefault="00AA42F4" w:rsidP="00AA4704">
            <w:pPr>
              <w:jc w:val="center"/>
              <w:rPr>
                <w:rFonts w:cs="Arial"/>
                <w:szCs w:val="22"/>
              </w:rPr>
            </w:pPr>
            <w:r w:rsidRPr="00BB03EB">
              <w:rPr>
                <w:rFonts w:cs="Arial"/>
                <w:szCs w:val="22"/>
              </w:rPr>
              <w:t>5%</w:t>
            </w:r>
          </w:p>
        </w:tc>
      </w:tr>
    </w:tbl>
    <w:p w14:paraId="239B41C0" w14:textId="77777777" w:rsidR="00AA42F4" w:rsidRPr="00BB03EB" w:rsidRDefault="00AA42F4" w:rsidP="00AA42F4">
      <w:pPr>
        <w:rPr>
          <w:sz w:val="24"/>
        </w:rPr>
      </w:pPr>
    </w:p>
    <w:p w14:paraId="1636243D" w14:textId="77777777" w:rsidR="00AA42F4" w:rsidRPr="00BB03EB" w:rsidRDefault="00AA42F4" w:rsidP="00AA42F4">
      <w:pPr>
        <w:spacing w:line="298" w:lineRule="auto"/>
        <w:jc w:val="both"/>
      </w:pPr>
      <w:r w:rsidRPr="00BB03EB">
        <w:t xml:space="preserve">Pojišťovna vyhodnotí předchozí škodní průběh této pojistné smlouvy za uplynulý pojistný rok nejpozději do 3 měsíců od ukončení tohoto pojistného roku a bonifikaci poukáže pojistníkovi jednorázově </w:t>
      </w:r>
      <w:r w:rsidRPr="00BB03EB">
        <w:br/>
        <w:t>do 1 měsíce po jejím přiznání.</w:t>
      </w:r>
    </w:p>
    <w:p w14:paraId="3619088F" w14:textId="77777777" w:rsidR="00AA42F4" w:rsidRPr="00BB03EB" w:rsidRDefault="00AA42F4" w:rsidP="00AA42F4">
      <w:pPr>
        <w:spacing w:line="298" w:lineRule="auto"/>
        <w:jc w:val="both"/>
      </w:pPr>
      <w:r w:rsidRPr="00BB03EB">
        <w:t>Podmínkou pro vyplacení bonifikace je uhrazení předepsaného pojistného v daném pojistném roce.</w:t>
      </w:r>
    </w:p>
    <w:p w14:paraId="796A2BF7" w14:textId="77777777" w:rsidR="00AA42F4" w:rsidRPr="00BB03EB" w:rsidRDefault="00AA42F4" w:rsidP="00AA42F4">
      <w:pPr>
        <w:spacing w:line="298" w:lineRule="auto"/>
        <w:jc w:val="both"/>
      </w:pPr>
      <w:r w:rsidRPr="00BB03EB">
        <w:t>Nárok nevznikne při ukončení platnosti pojistné smlouvy před uplynutím celého pojistného roku.</w:t>
      </w:r>
    </w:p>
    <w:p w14:paraId="1D2426FC" w14:textId="77118B01" w:rsidR="001A4028" w:rsidRPr="00BB03EB" w:rsidRDefault="00AA42F4" w:rsidP="00AA42F4">
      <w:pPr>
        <w:spacing w:line="298" w:lineRule="auto"/>
        <w:jc w:val="both"/>
      </w:pPr>
      <w:r w:rsidRPr="00BB03EB">
        <w:t xml:space="preserve">První vyhodnocení škodního průběhu bude provedeno za pojistný </w:t>
      </w:r>
      <w:r w:rsidR="001A4028" w:rsidRPr="00BB03EB">
        <w:t xml:space="preserve">období (1 </w:t>
      </w:r>
      <w:r w:rsidRPr="00BB03EB">
        <w:t>rok</w:t>
      </w:r>
      <w:r w:rsidR="001A4028" w:rsidRPr="00BB03EB">
        <w:t>)</w:t>
      </w:r>
      <w:r w:rsidRPr="00BB03EB">
        <w:t xml:space="preserve">. </w:t>
      </w:r>
    </w:p>
    <w:p w14:paraId="792590A6" w14:textId="6C233138" w:rsidR="00AA42F4" w:rsidRPr="00BB03EB" w:rsidRDefault="00AA42F4" w:rsidP="00AA42F4">
      <w:pPr>
        <w:spacing w:line="298" w:lineRule="auto"/>
        <w:jc w:val="both"/>
      </w:pPr>
      <w:r w:rsidRPr="00BB03EB">
        <w:t>Překročí-li však škodní průběh v pojistném roce 50%, nevznikne nárok na vyplacení bonifikace ani v roce následujícím, i kdyby pro ni jinak byly splněny předpoklady. Podmínkou pro vyplacení bonifikace je uhrazení předepsaného pojistného v daném pojistném roce. Nárok nevznikne při ukončení platnosti pojistné smlouvy před uplynutím celého pojistného roku.</w:t>
      </w:r>
    </w:p>
    <w:p w14:paraId="32815FEA" w14:textId="0D454D85" w:rsidR="00D06265" w:rsidRPr="00BB03EB" w:rsidRDefault="00D06265" w:rsidP="00BB03EB">
      <w:pPr>
        <w:spacing w:after="160" w:line="259" w:lineRule="auto"/>
        <w:rPr>
          <w:rFonts w:cs="Arial"/>
          <w:b/>
          <w:bCs/>
          <w:sz w:val="22"/>
          <w:szCs w:val="22"/>
        </w:rPr>
      </w:pPr>
    </w:p>
    <w:sectPr w:rsidR="00D06265" w:rsidRPr="00BB03EB" w:rsidSect="00723927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264F4" w14:textId="77777777" w:rsidR="0050157D" w:rsidRDefault="0050157D" w:rsidP="009A09AA">
      <w:r>
        <w:separator/>
      </w:r>
    </w:p>
  </w:endnote>
  <w:endnote w:type="continuationSeparator" w:id="0">
    <w:p w14:paraId="73ADF270" w14:textId="77777777" w:rsidR="0050157D" w:rsidRDefault="0050157D" w:rsidP="009A09AA">
      <w:r>
        <w:continuationSeparator/>
      </w:r>
    </w:p>
  </w:endnote>
  <w:endnote w:type="continuationNotice" w:id="1">
    <w:p w14:paraId="2ABD4B4E" w14:textId="77777777" w:rsidR="0050157D" w:rsidRDefault="005015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Pro 45 Lt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802ED" w14:textId="77777777" w:rsidR="0050157D" w:rsidRDefault="0050157D" w:rsidP="009A09AA">
      <w:r>
        <w:separator/>
      </w:r>
    </w:p>
  </w:footnote>
  <w:footnote w:type="continuationSeparator" w:id="0">
    <w:p w14:paraId="3ED7F83D" w14:textId="77777777" w:rsidR="0050157D" w:rsidRDefault="0050157D" w:rsidP="009A09AA">
      <w:r>
        <w:continuationSeparator/>
      </w:r>
    </w:p>
  </w:footnote>
  <w:footnote w:type="continuationNotice" w:id="1">
    <w:p w14:paraId="047F512C" w14:textId="77777777" w:rsidR="0050157D" w:rsidRDefault="005015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A2FE3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915E8"/>
    <w:multiLevelType w:val="hybridMultilevel"/>
    <w:tmpl w:val="1BE21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B568B"/>
    <w:multiLevelType w:val="hybridMultilevel"/>
    <w:tmpl w:val="720A5B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D28DE"/>
    <w:multiLevelType w:val="hybridMultilevel"/>
    <w:tmpl w:val="0E9850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D4B71"/>
    <w:multiLevelType w:val="hybridMultilevel"/>
    <w:tmpl w:val="3AE6EDC8"/>
    <w:lvl w:ilvl="0" w:tplc="44027382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855A3"/>
    <w:multiLevelType w:val="hybridMultilevel"/>
    <w:tmpl w:val="765C4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82EE4"/>
    <w:multiLevelType w:val="hybridMultilevel"/>
    <w:tmpl w:val="3AFA1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54EA3"/>
    <w:multiLevelType w:val="hybridMultilevel"/>
    <w:tmpl w:val="34BC6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B7130"/>
    <w:multiLevelType w:val="hybridMultilevel"/>
    <w:tmpl w:val="AAEA7020"/>
    <w:lvl w:ilvl="0" w:tplc="43BE596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512C2"/>
    <w:multiLevelType w:val="hybridMultilevel"/>
    <w:tmpl w:val="48BE2A5E"/>
    <w:lvl w:ilvl="0" w:tplc="A7365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FA1245"/>
    <w:multiLevelType w:val="hybridMultilevel"/>
    <w:tmpl w:val="9F364728"/>
    <w:lvl w:ilvl="0" w:tplc="9B06A134">
      <w:start w:val="1"/>
      <w:numFmt w:val="bullet"/>
      <w:lvlText w:val="-"/>
      <w:lvlJc w:val="left"/>
      <w:pPr>
        <w:ind w:left="5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1" w15:restartNumberingAfterBreak="0">
    <w:nsid w:val="2D4E3475"/>
    <w:multiLevelType w:val="hybridMultilevel"/>
    <w:tmpl w:val="E0CEF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9443C"/>
    <w:multiLevelType w:val="hybridMultilevel"/>
    <w:tmpl w:val="EEEC56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54118"/>
    <w:multiLevelType w:val="hybridMultilevel"/>
    <w:tmpl w:val="E3F61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624FD"/>
    <w:multiLevelType w:val="hybridMultilevel"/>
    <w:tmpl w:val="66A439E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763A0"/>
    <w:multiLevelType w:val="hybridMultilevel"/>
    <w:tmpl w:val="9A82EB64"/>
    <w:lvl w:ilvl="0" w:tplc="ED244566">
      <w:start w:val="1"/>
      <w:numFmt w:val="bullet"/>
      <w:lvlText w:val=""/>
      <w:lvlJc w:val="left"/>
      <w:pPr>
        <w:ind w:left="57" w:hanging="5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647D1"/>
    <w:multiLevelType w:val="hybridMultilevel"/>
    <w:tmpl w:val="99BEA9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F5760"/>
    <w:multiLevelType w:val="hybridMultilevel"/>
    <w:tmpl w:val="9D401164"/>
    <w:lvl w:ilvl="0" w:tplc="DF3CA57A">
      <w:start w:val="1"/>
      <w:numFmt w:val="bullet"/>
      <w:lvlText w:val=""/>
      <w:lvlJc w:val="left"/>
      <w:pPr>
        <w:ind w:left="57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72AFF"/>
    <w:multiLevelType w:val="hybridMultilevel"/>
    <w:tmpl w:val="6016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965A9"/>
    <w:multiLevelType w:val="hybridMultilevel"/>
    <w:tmpl w:val="12825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B79BF"/>
    <w:multiLevelType w:val="hybridMultilevel"/>
    <w:tmpl w:val="CC30DC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87CF5"/>
    <w:multiLevelType w:val="hybridMultilevel"/>
    <w:tmpl w:val="332A20E6"/>
    <w:lvl w:ilvl="0" w:tplc="0405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9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6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407" w:hanging="360"/>
      </w:pPr>
      <w:rPr>
        <w:rFonts w:ascii="Wingdings" w:hAnsi="Wingdings" w:hint="default"/>
      </w:rPr>
    </w:lvl>
  </w:abstractNum>
  <w:abstractNum w:abstractNumId="22" w15:restartNumberingAfterBreak="0">
    <w:nsid w:val="555D1B49"/>
    <w:multiLevelType w:val="hybridMultilevel"/>
    <w:tmpl w:val="F43890AA"/>
    <w:lvl w:ilvl="0" w:tplc="F814D6E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8349DD"/>
    <w:multiLevelType w:val="hybridMultilevel"/>
    <w:tmpl w:val="53F2F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808CF"/>
    <w:multiLevelType w:val="hybridMultilevel"/>
    <w:tmpl w:val="35BE48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35DFF"/>
    <w:multiLevelType w:val="hybridMultilevel"/>
    <w:tmpl w:val="951CE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5E32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9035F5B"/>
    <w:multiLevelType w:val="hybridMultilevel"/>
    <w:tmpl w:val="31281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40A0C"/>
    <w:multiLevelType w:val="hybridMultilevel"/>
    <w:tmpl w:val="29AE5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4E5D12"/>
    <w:multiLevelType w:val="hybridMultilevel"/>
    <w:tmpl w:val="603429B0"/>
    <w:lvl w:ilvl="0" w:tplc="9BAA67BA">
      <w:start w:val="10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050FA"/>
    <w:multiLevelType w:val="hybridMultilevel"/>
    <w:tmpl w:val="93EE81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6C2694"/>
    <w:multiLevelType w:val="hybridMultilevel"/>
    <w:tmpl w:val="4AEEF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838A0"/>
    <w:multiLevelType w:val="hybridMultilevel"/>
    <w:tmpl w:val="FFCAAA8C"/>
    <w:lvl w:ilvl="0" w:tplc="B0B6ADCE">
      <w:start w:val="1"/>
      <w:numFmt w:val="bullet"/>
      <w:lvlText w:val=""/>
      <w:lvlJc w:val="left"/>
      <w:pPr>
        <w:ind w:left="57" w:hanging="5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474400">
    <w:abstractNumId w:val="9"/>
  </w:num>
  <w:num w:numId="2" w16cid:durableId="1719086284">
    <w:abstractNumId w:val="2"/>
  </w:num>
  <w:num w:numId="3" w16cid:durableId="207645488">
    <w:abstractNumId w:val="20"/>
  </w:num>
  <w:num w:numId="4" w16cid:durableId="1378167619">
    <w:abstractNumId w:val="6"/>
  </w:num>
  <w:num w:numId="5" w16cid:durableId="2020883217">
    <w:abstractNumId w:val="26"/>
  </w:num>
  <w:num w:numId="6" w16cid:durableId="976952362">
    <w:abstractNumId w:val="0"/>
  </w:num>
  <w:num w:numId="7" w16cid:durableId="970944802">
    <w:abstractNumId w:val="28"/>
  </w:num>
  <w:num w:numId="8" w16cid:durableId="961378515">
    <w:abstractNumId w:val="22"/>
  </w:num>
  <w:num w:numId="9" w16cid:durableId="650906955">
    <w:abstractNumId w:val="12"/>
  </w:num>
  <w:num w:numId="10" w16cid:durableId="369764148">
    <w:abstractNumId w:val="5"/>
  </w:num>
  <w:num w:numId="11" w16cid:durableId="1831216870">
    <w:abstractNumId w:val="30"/>
  </w:num>
  <w:num w:numId="12" w16cid:durableId="1799564951">
    <w:abstractNumId w:val="4"/>
  </w:num>
  <w:num w:numId="13" w16cid:durableId="2128620268">
    <w:abstractNumId w:val="8"/>
  </w:num>
  <w:num w:numId="14" w16cid:durableId="1366325861">
    <w:abstractNumId w:val="17"/>
  </w:num>
  <w:num w:numId="15" w16cid:durableId="1303735037">
    <w:abstractNumId w:val="15"/>
  </w:num>
  <w:num w:numId="16" w16cid:durableId="466095110">
    <w:abstractNumId w:val="32"/>
  </w:num>
  <w:num w:numId="17" w16cid:durableId="453258195">
    <w:abstractNumId w:val="3"/>
  </w:num>
  <w:num w:numId="18" w16cid:durableId="910384263">
    <w:abstractNumId w:val="25"/>
  </w:num>
  <w:num w:numId="19" w16cid:durableId="94525345">
    <w:abstractNumId w:val="31"/>
  </w:num>
  <w:num w:numId="20" w16cid:durableId="519928171">
    <w:abstractNumId w:val="18"/>
  </w:num>
  <w:num w:numId="21" w16cid:durableId="182019787">
    <w:abstractNumId w:val="29"/>
  </w:num>
  <w:num w:numId="22" w16cid:durableId="582884090">
    <w:abstractNumId w:val="21"/>
  </w:num>
  <w:num w:numId="23" w16cid:durableId="2003383838">
    <w:abstractNumId w:val="27"/>
  </w:num>
  <w:num w:numId="24" w16cid:durableId="140734235">
    <w:abstractNumId w:val="13"/>
  </w:num>
  <w:num w:numId="25" w16cid:durableId="1383676292">
    <w:abstractNumId w:val="7"/>
  </w:num>
  <w:num w:numId="26" w16cid:durableId="2071997724">
    <w:abstractNumId w:val="10"/>
  </w:num>
  <w:num w:numId="27" w16cid:durableId="553397439">
    <w:abstractNumId w:val="23"/>
  </w:num>
  <w:num w:numId="28" w16cid:durableId="1118841183">
    <w:abstractNumId w:val="19"/>
  </w:num>
  <w:num w:numId="29" w16cid:durableId="133106586">
    <w:abstractNumId w:val="11"/>
  </w:num>
  <w:num w:numId="30" w16cid:durableId="823662507">
    <w:abstractNumId w:val="14"/>
  </w:num>
  <w:num w:numId="31" w16cid:durableId="431976273">
    <w:abstractNumId w:val="16"/>
  </w:num>
  <w:num w:numId="32" w16cid:durableId="17705331">
    <w:abstractNumId w:val="24"/>
  </w:num>
  <w:num w:numId="33" w16cid:durableId="14049848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12713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57"/>
    <w:rsid w:val="00007DF5"/>
    <w:rsid w:val="00015B57"/>
    <w:rsid w:val="00025A3E"/>
    <w:rsid w:val="000267F5"/>
    <w:rsid w:val="00031439"/>
    <w:rsid w:val="0003374B"/>
    <w:rsid w:val="000361CC"/>
    <w:rsid w:val="0003708C"/>
    <w:rsid w:val="00041121"/>
    <w:rsid w:val="000433FE"/>
    <w:rsid w:val="00045C1F"/>
    <w:rsid w:val="0005047E"/>
    <w:rsid w:val="00053470"/>
    <w:rsid w:val="000538CD"/>
    <w:rsid w:val="0005731F"/>
    <w:rsid w:val="00061BC0"/>
    <w:rsid w:val="00062B33"/>
    <w:rsid w:val="00073069"/>
    <w:rsid w:val="00073988"/>
    <w:rsid w:val="00076F90"/>
    <w:rsid w:val="00086A81"/>
    <w:rsid w:val="00086B32"/>
    <w:rsid w:val="00090AC5"/>
    <w:rsid w:val="000A3271"/>
    <w:rsid w:val="000A6CB3"/>
    <w:rsid w:val="000B5A4E"/>
    <w:rsid w:val="000C58B9"/>
    <w:rsid w:val="000C6F52"/>
    <w:rsid w:val="000D2538"/>
    <w:rsid w:val="000D34D0"/>
    <w:rsid w:val="000D39A3"/>
    <w:rsid w:val="000D5597"/>
    <w:rsid w:val="000E28DB"/>
    <w:rsid w:val="000E421D"/>
    <w:rsid w:val="000F35AE"/>
    <w:rsid w:val="000F5545"/>
    <w:rsid w:val="000F5C46"/>
    <w:rsid w:val="000F5E72"/>
    <w:rsid w:val="00101945"/>
    <w:rsid w:val="00105E4E"/>
    <w:rsid w:val="0011051E"/>
    <w:rsid w:val="00121578"/>
    <w:rsid w:val="00122B71"/>
    <w:rsid w:val="00125C52"/>
    <w:rsid w:val="001275F6"/>
    <w:rsid w:val="001332E6"/>
    <w:rsid w:val="001353BF"/>
    <w:rsid w:val="00145388"/>
    <w:rsid w:val="001478AC"/>
    <w:rsid w:val="0015208B"/>
    <w:rsid w:val="0015543A"/>
    <w:rsid w:val="001627DA"/>
    <w:rsid w:val="00163265"/>
    <w:rsid w:val="0016329F"/>
    <w:rsid w:val="001635DD"/>
    <w:rsid w:val="00164931"/>
    <w:rsid w:val="00174E2A"/>
    <w:rsid w:val="00175807"/>
    <w:rsid w:val="00176AF3"/>
    <w:rsid w:val="001908ED"/>
    <w:rsid w:val="00191958"/>
    <w:rsid w:val="00193965"/>
    <w:rsid w:val="001949FA"/>
    <w:rsid w:val="001A4028"/>
    <w:rsid w:val="001B0EDD"/>
    <w:rsid w:val="001B14C4"/>
    <w:rsid w:val="001B3D6F"/>
    <w:rsid w:val="001B45C3"/>
    <w:rsid w:val="001C10CE"/>
    <w:rsid w:val="001C311F"/>
    <w:rsid w:val="001C4F8B"/>
    <w:rsid w:val="001C59C3"/>
    <w:rsid w:val="001C6E45"/>
    <w:rsid w:val="001C6E9D"/>
    <w:rsid w:val="001D088F"/>
    <w:rsid w:val="001D1EA3"/>
    <w:rsid w:val="001D1F7F"/>
    <w:rsid w:val="001D4439"/>
    <w:rsid w:val="001D55CE"/>
    <w:rsid w:val="001D7B8D"/>
    <w:rsid w:val="001D7C33"/>
    <w:rsid w:val="001F4B06"/>
    <w:rsid w:val="00200CD7"/>
    <w:rsid w:val="002012E3"/>
    <w:rsid w:val="0020164B"/>
    <w:rsid w:val="0020242D"/>
    <w:rsid w:val="00202529"/>
    <w:rsid w:val="00205C24"/>
    <w:rsid w:val="002103DC"/>
    <w:rsid w:val="002122F3"/>
    <w:rsid w:val="0021599F"/>
    <w:rsid w:val="00216A93"/>
    <w:rsid w:val="00221BD9"/>
    <w:rsid w:val="0022654F"/>
    <w:rsid w:val="00227625"/>
    <w:rsid w:val="00236B4A"/>
    <w:rsid w:val="002409A3"/>
    <w:rsid w:val="0024144A"/>
    <w:rsid w:val="00241BAE"/>
    <w:rsid w:val="0024210A"/>
    <w:rsid w:val="00250D2F"/>
    <w:rsid w:val="002510E9"/>
    <w:rsid w:val="00254644"/>
    <w:rsid w:val="002560A8"/>
    <w:rsid w:val="002606E1"/>
    <w:rsid w:val="002609F1"/>
    <w:rsid w:val="0028298B"/>
    <w:rsid w:val="00282F8C"/>
    <w:rsid w:val="0028745D"/>
    <w:rsid w:val="0029080F"/>
    <w:rsid w:val="002969CE"/>
    <w:rsid w:val="00297260"/>
    <w:rsid w:val="00297B48"/>
    <w:rsid w:val="00297E96"/>
    <w:rsid w:val="002A02A8"/>
    <w:rsid w:val="002A62D6"/>
    <w:rsid w:val="002B4C48"/>
    <w:rsid w:val="002C04A4"/>
    <w:rsid w:val="002C265E"/>
    <w:rsid w:val="002C3B15"/>
    <w:rsid w:val="002D2C1C"/>
    <w:rsid w:val="002D372A"/>
    <w:rsid w:val="002D42AC"/>
    <w:rsid w:val="002E1C3F"/>
    <w:rsid w:val="002E2D10"/>
    <w:rsid w:val="002E4519"/>
    <w:rsid w:val="002F09A9"/>
    <w:rsid w:val="002F42F6"/>
    <w:rsid w:val="002F5836"/>
    <w:rsid w:val="002F69F2"/>
    <w:rsid w:val="002F7398"/>
    <w:rsid w:val="00301E4B"/>
    <w:rsid w:val="00303508"/>
    <w:rsid w:val="00303C0F"/>
    <w:rsid w:val="0030430F"/>
    <w:rsid w:val="0030485A"/>
    <w:rsid w:val="00305CDD"/>
    <w:rsid w:val="00314E31"/>
    <w:rsid w:val="003154D5"/>
    <w:rsid w:val="00332EAE"/>
    <w:rsid w:val="00334643"/>
    <w:rsid w:val="00340C7A"/>
    <w:rsid w:val="003445C0"/>
    <w:rsid w:val="003445D4"/>
    <w:rsid w:val="00346184"/>
    <w:rsid w:val="0035155F"/>
    <w:rsid w:val="00351ADC"/>
    <w:rsid w:val="00377D9F"/>
    <w:rsid w:val="003836D8"/>
    <w:rsid w:val="00384EA4"/>
    <w:rsid w:val="003904F1"/>
    <w:rsid w:val="0039383D"/>
    <w:rsid w:val="003A1749"/>
    <w:rsid w:val="003A6D24"/>
    <w:rsid w:val="003B0180"/>
    <w:rsid w:val="003B0A74"/>
    <w:rsid w:val="003B117E"/>
    <w:rsid w:val="003B1285"/>
    <w:rsid w:val="003B584C"/>
    <w:rsid w:val="003C2CE0"/>
    <w:rsid w:val="003C3169"/>
    <w:rsid w:val="003D1110"/>
    <w:rsid w:val="003D3C10"/>
    <w:rsid w:val="003E4125"/>
    <w:rsid w:val="003F14DE"/>
    <w:rsid w:val="003F41E6"/>
    <w:rsid w:val="003F6244"/>
    <w:rsid w:val="003F634F"/>
    <w:rsid w:val="003F6F75"/>
    <w:rsid w:val="00401DC2"/>
    <w:rsid w:val="00412B8A"/>
    <w:rsid w:val="00413C94"/>
    <w:rsid w:val="00415505"/>
    <w:rsid w:val="00415C8B"/>
    <w:rsid w:val="0041702D"/>
    <w:rsid w:val="004205C0"/>
    <w:rsid w:val="00430C11"/>
    <w:rsid w:val="00431B61"/>
    <w:rsid w:val="00432285"/>
    <w:rsid w:val="00443BB3"/>
    <w:rsid w:val="004515E4"/>
    <w:rsid w:val="004523EB"/>
    <w:rsid w:val="0046088F"/>
    <w:rsid w:val="00460EFA"/>
    <w:rsid w:val="00463D4A"/>
    <w:rsid w:val="00466B33"/>
    <w:rsid w:val="0047158B"/>
    <w:rsid w:val="00471BD4"/>
    <w:rsid w:val="0047367D"/>
    <w:rsid w:val="00474FE0"/>
    <w:rsid w:val="0047578C"/>
    <w:rsid w:val="0047678D"/>
    <w:rsid w:val="00485F54"/>
    <w:rsid w:val="0048678C"/>
    <w:rsid w:val="004913DD"/>
    <w:rsid w:val="004A15A5"/>
    <w:rsid w:val="004A248C"/>
    <w:rsid w:val="004A3DA6"/>
    <w:rsid w:val="004A5F95"/>
    <w:rsid w:val="004B25E8"/>
    <w:rsid w:val="004B5186"/>
    <w:rsid w:val="004B63BD"/>
    <w:rsid w:val="004B7982"/>
    <w:rsid w:val="004C1A9C"/>
    <w:rsid w:val="004C64F8"/>
    <w:rsid w:val="004C6C9B"/>
    <w:rsid w:val="004C6F7E"/>
    <w:rsid w:val="004C7EE4"/>
    <w:rsid w:val="004D282D"/>
    <w:rsid w:val="004D319D"/>
    <w:rsid w:val="004D5046"/>
    <w:rsid w:val="004D57C7"/>
    <w:rsid w:val="004D7D99"/>
    <w:rsid w:val="004E0DE4"/>
    <w:rsid w:val="004E4F44"/>
    <w:rsid w:val="004E6841"/>
    <w:rsid w:val="004E687C"/>
    <w:rsid w:val="004F5EF8"/>
    <w:rsid w:val="004F7C3F"/>
    <w:rsid w:val="0050157D"/>
    <w:rsid w:val="00505E77"/>
    <w:rsid w:val="005065E3"/>
    <w:rsid w:val="00515D99"/>
    <w:rsid w:val="005311CA"/>
    <w:rsid w:val="00537817"/>
    <w:rsid w:val="005412E9"/>
    <w:rsid w:val="00542C25"/>
    <w:rsid w:val="00545651"/>
    <w:rsid w:val="00550EF7"/>
    <w:rsid w:val="00552286"/>
    <w:rsid w:val="00554BDD"/>
    <w:rsid w:val="00557A2D"/>
    <w:rsid w:val="00560C55"/>
    <w:rsid w:val="00562B91"/>
    <w:rsid w:val="00562D1B"/>
    <w:rsid w:val="00563D5F"/>
    <w:rsid w:val="0057471D"/>
    <w:rsid w:val="00574AA1"/>
    <w:rsid w:val="00574BC4"/>
    <w:rsid w:val="0057700D"/>
    <w:rsid w:val="00577B79"/>
    <w:rsid w:val="00577D62"/>
    <w:rsid w:val="0058572A"/>
    <w:rsid w:val="0058590D"/>
    <w:rsid w:val="00590A4F"/>
    <w:rsid w:val="00594609"/>
    <w:rsid w:val="005A01C9"/>
    <w:rsid w:val="005A07D1"/>
    <w:rsid w:val="005A1B14"/>
    <w:rsid w:val="005A42A0"/>
    <w:rsid w:val="005B09F0"/>
    <w:rsid w:val="005B4D1D"/>
    <w:rsid w:val="005B7379"/>
    <w:rsid w:val="005C0BFD"/>
    <w:rsid w:val="005C10D5"/>
    <w:rsid w:val="005C461A"/>
    <w:rsid w:val="005C6EC8"/>
    <w:rsid w:val="005C71AA"/>
    <w:rsid w:val="005C7A66"/>
    <w:rsid w:val="005D1DFC"/>
    <w:rsid w:val="005D6242"/>
    <w:rsid w:val="005E19D0"/>
    <w:rsid w:val="005E4E56"/>
    <w:rsid w:val="005E59B9"/>
    <w:rsid w:val="005E6ACB"/>
    <w:rsid w:val="005F0BBF"/>
    <w:rsid w:val="005F57BB"/>
    <w:rsid w:val="00601AC4"/>
    <w:rsid w:val="00605732"/>
    <w:rsid w:val="006074C6"/>
    <w:rsid w:val="00613B02"/>
    <w:rsid w:val="0061537F"/>
    <w:rsid w:val="00616F4F"/>
    <w:rsid w:val="00621D6F"/>
    <w:rsid w:val="006255B4"/>
    <w:rsid w:val="00625684"/>
    <w:rsid w:val="00627D9B"/>
    <w:rsid w:val="006308E7"/>
    <w:rsid w:val="00634085"/>
    <w:rsid w:val="00635A33"/>
    <w:rsid w:val="006430D1"/>
    <w:rsid w:val="006446F5"/>
    <w:rsid w:val="00650C9E"/>
    <w:rsid w:val="00653950"/>
    <w:rsid w:val="0067290C"/>
    <w:rsid w:val="00672AC2"/>
    <w:rsid w:val="00676ACC"/>
    <w:rsid w:val="00683DB4"/>
    <w:rsid w:val="00693675"/>
    <w:rsid w:val="006953A0"/>
    <w:rsid w:val="00696B85"/>
    <w:rsid w:val="006A0734"/>
    <w:rsid w:val="006A0A41"/>
    <w:rsid w:val="006A4CA9"/>
    <w:rsid w:val="006A57CA"/>
    <w:rsid w:val="006A71F8"/>
    <w:rsid w:val="006A7970"/>
    <w:rsid w:val="006B4AA4"/>
    <w:rsid w:val="006B5224"/>
    <w:rsid w:val="006C1C11"/>
    <w:rsid w:val="006C2AEE"/>
    <w:rsid w:val="006C7407"/>
    <w:rsid w:val="006D1663"/>
    <w:rsid w:val="006D77F1"/>
    <w:rsid w:val="006E3056"/>
    <w:rsid w:val="006E7B06"/>
    <w:rsid w:val="006F2948"/>
    <w:rsid w:val="006F4A0C"/>
    <w:rsid w:val="006F5C6F"/>
    <w:rsid w:val="006F74EB"/>
    <w:rsid w:val="00700981"/>
    <w:rsid w:val="00700F8C"/>
    <w:rsid w:val="00702BB2"/>
    <w:rsid w:val="007037B7"/>
    <w:rsid w:val="00705A88"/>
    <w:rsid w:val="00707A28"/>
    <w:rsid w:val="00711E8B"/>
    <w:rsid w:val="0071288E"/>
    <w:rsid w:val="00714A34"/>
    <w:rsid w:val="00716706"/>
    <w:rsid w:val="00716B5D"/>
    <w:rsid w:val="00720644"/>
    <w:rsid w:val="00723927"/>
    <w:rsid w:val="00726D02"/>
    <w:rsid w:val="0073422F"/>
    <w:rsid w:val="007356E4"/>
    <w:rsid w:val="007362BC"/>
    <w:rsid w:val="007374DF"/>
    <w:rsid w:val="00737A35"/>
    <w:rsid w:val="00751344"/>
    <w:rsid w:val="007544B6"/>
    <w:rsid w:val="00754662"/>
    <w:rsid w:val="00760053"/>
    <w:rsid w:val="0076130F"/>
    <w:rsid w:val="007616B4"/>
    <w:rsid w:val="0076451E"/>
    <w:rsid w:val="00770C57"/>
    <w:rsid w:val="007744FF"/>
    <w:rsid w:val="00775756"/>
    <w:rsid w:val="00780C98"/>
    <w:rsid w:val="0078338E"/>
    <w:rsid w:val="00787A15"/>
    <w:rsid w:val="007903D8"/>
    <w:rsid w:val="007922E2"/>
    <w:rsid w:val="007A27F7"/>
    <w:rsid w:val="007A2E2D"/>
    <w:rsid w:val="007B0A95"/>
    <w:rsid w:val="007B26F4"/>
    <w:rsid w:val="007B4043"/>
    <w:rsid w:val="007B5DE4"/>
    <w:rsid w:val="007C0397"/>
    <w:rsid w:val="007C1CBD"/>
    <w:rsid w:val="007C21AC"/>
    <w:rsid w:val="007C4F65"/>
    <w:rsid w:val="007D2DDE"/>
    <w:rsid w:val="007D417C"/>
    <w:rsid w:val="007D67BA"/>
    <w:rsid w:val="007E111B"/>
    <w:rsid w:val="007E1AAE"/>
    <w:rsid w:val="007E3320"/>
    <w:rsid w:val="007E4928"/>
    <w:rsid w:val="007E69F8"/>
    <w:rsid w:val="007E7AAA"/>
    <w:rsid w:val="007F1169"/>
    <w:rsid w:val="007F2E88"/>
    <w:rsid w:val="007F6381"/>
    <w:rsid w:val="00802702"/>
    <w:rsid w:val="008033B9"/>
    <w:rsid w:val="008115C6"/>
    <w:rsid w:val="008169CB"/>
    <w:rsid w:val="00826F62"/>
    <w:rsid w:val="008274D5"/>
    <w:rsid w:val="0083340E"/>
    <w:rsid w:val="0083364F"/>
    <w:rsid w:val="0083565B"/>
    <w:rsid w:val="0083594F"/>
    <w:rsid w:val="008417FC"/>
    <w:rsid w:val="00842556"/>
    <w:rsid w:val="00845975"/>
    <w:rsid w:val="0085147A"/>
    <w:rsid w:val="008562DA"/>
    <w:rsid w:val="00862ED8"/>
    <w:rsid w:val="00864835"/>
    <w:rsid w:val="008756A3"/>
    <w:rsid w:val="00877AE0"/>
    <w:rsid w:val="00882D94"/>
    <w:rsid w:val="00887893"/>
    <w:rsid w:val="0089167F"/>
    <w:rsid w:val="00891DBD"/>
    <w:rsid w:val="00896981"/>
    <w:rsid w:val="008A1321"/>
    <w:rsid w:val="008B1C44"/>
    <w:rsid w:val="008B1F10"/>
    <w:rsid w:val="008B509F"/>
    <w:rsid w:val="008B70DD"/>
    <w:rsid w:val="008C2618"/>
    <w:rsid w:val="008D2F2C"/>
    <w:rsid w:val="008E015A"/>
    <w:rsid w:val="008E68A8"/>
    <w:rsid w:val="008F0557"/>
    <w:rsid w:val="008F1AF9"/>
    <w:rsid w:val="008F2612"/>
    <w:rsid w:val="008F3565"/>
    <w:rsid w:val="008F3D22"/>
    <w:rsid w:val="008F5585"/>
    <w:rsid w:val="009106F7"/>
    <w:rsid w:val="009160F5"/>
    <w:rsid w:val="00921713"/>
    <w:rsid w:val="0092176E"/>
    <w:rsid w:val="009227A2"/>
    <w:rsid w:val="0092664D"/>
    <w:rsid w:val="0093005A"/>
    <w:rsid w:val="00933706"/>
    <w:rsid w:val="00941C7F"/>
    <w:rsid w:val="00942F57"/>
    <w:rsid w:val="00945F09"/>
    <w:rsid w:val="00947854"/>
    <w:rsid w:val="00947F73"/>
    <w:rsid w:val="00953CB1"/>
    <w:rsid w:val="00955D01"/>
    <w:rsid w:val="00956B76"/>
    <w:rsid w:val="009579FB"/>
    <w:rsid w:val="00960E65"/>
    <w:rsid w:val="0096276C"/>
    <w:rsid w:val="00965EA6"/>
    <w:rsid w:val="00966AD9"/>
    <w:rsid w:val="00966E00"/>
    <w:rsid w:val="0097012D"/>
    <w:rsid w:val="0097039B"/>
    <w:rsid w:val="009720B6"/>
    <w:rsid w:val="00972F16"/>
    <w:rsid w:val="00976D24"/>
    <w:rsid w:val="009863DA"/>
    <w:rsid w:val="009867B9"/>
    <w:rsid w:val="0099124F"/>
    <w:rsid w:val="00991F46"/>
    <w:rsid w:val="00992D1A"/>
    <w:rsid w:val="009A09AA"/>
    <w:rsid w:val="009A3AE2"/>
    <w:rsid w:val="009A6822"/>
    <w:rsid w:val="009B3CBB"/>
    <w:rsid w:val="009C1B2F"/>
    <w:rsid w:val="009D355C"/>
    <w:rsid w:val="009D771C"/>
    <w:rsid w:val="009E3AA6"/>
    <w:rsid w:val="009E7E30"/>
    <w:rsid w:val="009F28BF"/>
    <w:rsid w:val="00A01C11"/>
    <w:rsid w:val="00A02701"/>
    <w:rsid w:val="00A04902"/>
    <w:rsid w:val="00A07334"/>
    <w:rsid w:val="00A11ED5"/>
    <w:rsid w:val="00A127DD"/>
    <w:rsid w:val="00A15857"/>
    <w:rsid w:val="00A205CD"/>
    <w:rsid w:val="00A23171"/>
    <w:rsid w:val="00A27109"/>
    <w:rsid w:val="00A31C48"/>
    <w:rsid w:val="00A332E2"/>
    <w:rsid w:val="00A3391A"/>
    <w:rsid w:val="00A3595D"/>
    <w:rsid w:val="00A35E59"/>
    <w:rsid w:val="00A3648E"/>
    <w:rsid w:val="00A406B3"/>
    <w:rsid w:val="00A42C3C"/>
    <w:rsid w:val="00A4321E"/>
    <w:rsid w:val="00A44325"/>
    <w:rsid w:val="00A52511"/>
    <w:rsid w:val="00A53D96"/>
    <w:rsid w:val="00A544CB"/>
    <w:rsid w:val="00A677EF"/>
    <w:rsid w:val="00A84F72"/>
    <w:rsid w:val="00A8511F"/>
    <w:rsid w:val="00A9336E"/>
    <w:rsid w:val="00A94FE8"/>
    <w:rsid w:val="00A95358"/>
    <w:rsid w:val="00A96AED"/>
    <w:rsid w:val="00A96DE4"/>
    <w:rsid w:val="00AA1E33"/>
    <w:rsid w:val="00AA42F4"/>
    <w:rsid w:val="00AB5730"/>
    <w:rsid w:val="00AC2FD1"/>
    <w:rsid w:val="00AC758B"/>
    <w:rsid w:val="00AD479C"/>
    <w:rsid w:val="00AD4BBF"/>
    <w:rsid w:val="00AE1D1E"/>
    <w:rsid w:val="00AE2058"/>
    <w:rsid w:val="00AE641C"/>
    <w:rsid w:val="00AF2F9E"/>
    <w:rsid w:val="00AF7028"/>
    <w:rsid w:val="00B00763"/>
    <w:rsid w:val="00B00DD3"/>
    <w:rsid w:val="00B018B3"/>
    <w:rsid w:val="00B024F0"/>
    <w:rsid w:val="00B02759"/>
    <w:rsid w:val="00B04979"/>
    <w:rsid w:val="00B07DB2"/>
    <w:rsid w:val="00B36FF2"/>
    <w:rsid w:val="00B41605"/>
    <w:rsid w:val="00B41EC7"/>
    <w:rsid w:val="00B420D4"/>
    <w:rsid w:val="00B4272C"/>
    <w:rsid w:val="00B4305D"/>
    <w:rsid w:val="00B47B73"/>
    <w:rsid w:val="00B71684"/>
    <w:rsid w:val="00B73B6F"/>
    <w:rsid w:val="00B76BDA"/>
    <w:rsid w:val="00B800FA"/>
    <w:rsid w:val="00B811D4"/>
    <w:rsid w:val="00B81D03"/>
    <w:rsid w:val="00B834D4"/>
    <w:rsid w:val="00B83BB2"/>
    <w:rsid w:val="00B92C05"/>
    <w:rsid w:val="00B93E72"/>
    <w:rsid w:val="00B964D9"/>
    <w:rsid w:val="00BA1B43"/>
    <w:rsid w:val="00BA23F6"/>
    <w:rsid w:val="00BB03EB"/>
    <w:rsid w:val="00BC1E0F"/>
    <w:rsid w:val="00BC34F8"/>
    <w:rsid w:val="00BC3CB4"/>
    <w:rsid w:val="00BC45AB"/>
    <w:rsid w:val="00BC493C"/>
    <w:rsid w:val="00BC5B97"/>
    <w:rsid w:val="00BD1EE3"/>
    <w:rsid w:val="00BD5B24"/>
    <w:rsid w:val="00BE14E4"/>
    <w:rsid w:val="00BF0F6C"/>
    <w:rsid w:val="00BF14DB"/>
    <w:rsid w:val="00BF2850"/>
    <w:rsid w:val="00BF3AB3"/>
    <w:rsid w:val="00BF5359"/>
    <w:rsid w:val="00BF5D9B"/>
    <w:rsid w:val="00BF6660"/>
    <w:rsid w:val="00BF7C35"/>
    <w:rsid w:val="00C21968"/>
    <w:rsid w:val="00C272D1"/>
    <w:rsid w:val="00C277FA"/>
    <w:rsid w:val="00C30FCB"/>
    <w:rsid w:val="00C35F16"/>
    <w:rsid w:val="00C47689"/>
    <w:rsid w:val="00C610CE"/>
    <w:rsid w:val="00C63D3F"/>
    <w:rsid w:val="00C7196E"/>
    <w:rsid w:val="00C745A4"/>
    <w:rsid w:val="00C75289"/>
    <w:rsid w:val="00C76FEB"/>
    <w:rsid w:val="00C806E7"/>
    <w:rsid w:val="00C809DE"/>
    <w:rsid w:val="00C87438"/>
    <w:rsid w:val="00C904AF"/>
    <w:rsid w:val="00CA013D"/>
    <w:rsid w:val="00CA6C3D"/>
    <w:rsid w:val="00CB5068"/>
    <w:rsid w:val="00CB71C9"/>
    <w:rsid w:val="00CC2234"/>
    <w:rsid w:val="00CC39A2"/>
    <w:rsid w:val="00CC678E"/>
    <w:rsid w:val="00CE13B9"/>
    <w:rsid w:val="00CF0F49"/>
    <w:rsid w:val="00CF3F06"/>
    <w:rsid w:val="00CF4029"/>
    <w:rsid w:val="00CF62E5"/>
    <w:rsid w:val="00D03A3E"/>
    <w:rsid w:val="00D06265"/>
    <w:rsid w:val="00D10043"/>
    <w:rsid w:val="00D10D9F"/>
    <w:rsid w:val="00D11C11"/>
    <w:rsid w:val="00D136F3"/>
    <w:rsid w:val="00D17FCE"/>
    <w:rsid w:val="00D20D65"/>
    <w:rsid w:val="00D21AC0"/>
    <w:rsid w:val="00D2788A"/>
    <w:rsid w:val="00D31942"/>
    <w:rsid w:val="00D34830"/>
    <w:rsid w:val="00D350BE"/>
    <w:rsid w:val="00D411B9"/>
    <w:rsid w:val="00D47897"/>
    <w:rsid w:val="00D50D53"/>
    <w:rsid w:val="00D56A93"/>
    <w:rsid w:val="00D6019E"/>
    <w:rsid w:val="00D61066"/>
    <w:rsid w:val="00D62CFA"/>
    <w:rsid w:val="00D65FCC"/>
    <w:rsid w:val="00D67DEF"/>
    <w:rsid w:val="00D7223E"/>
    <w:rsid w:val="00D72DF2"/>
    <w:rsid w:val="00D81FF3"/>
    <w:rsid w:val="00D8355A"/>
    <w:rsid w:val="00D83E7B"/>
    <w:rsid w:val="00D85AF8"/>
    <w:rsid w:val="00D90CF2"/>
    <w:rsid w:val="00D96412"/>
    <w:rsid w:val="00D96897"/>
    <w:rsid w:val="00DA590C"/>
    <w:rsid w:val="00DA5AFA"/>
    <w:rsid w:val="00DA7F82"/>
    <w:rsid w:val="00DB0360"/>
    <w:rsid w:val="00DB331B"/>
    <w:rsid w:val="00DB6534"/>
    <w:rsid w:val="00DB7D53"/>
    <w:rsid w:val="00DC0C6A"/>
    <w:rsid w:val="00DC23F1"/>
    <w:rsid w:val="00DC61B2"/>
    <w:rsid w:val="00DD0F18"/>
    <w:rsid w:val="00DD4D2B"/>
    <w:rsid w:val="00DE07AE"/>
    <w:rsid w:val="00DE4E16"/>
    <w:rsid w:val="00DE61CB"/>
    <w:rsid w:val="00DE6F02"/>
    <w:rsid w:val="00DF05EE"/>
    <w:rsid w:val="00DF15D8"/>
    <w:rsid w:val="00DF363F"/>
    <w:rsid w:val="00DF48DD"/>
    <w:rsid w:val="00DF6FEA"/>
    <w:rsid w:val="00DF77C6"/>
    <w:rsid w:val="00E352EF"/>
    <w:rsid w:val="00E46B68"/>
    <w:rsid w:val="00E520C1"/>
    <w:rsid w:val="00E57B96"/>
    <w:rsid w:val="00E60458"/>
    <w:rsid w:val="00E64D73"/>
    <w:rsid w:val="00E77F20"/>
    <w:rsid w:val="00E8064D"/>
    <w:rsid w:val="00E8178C"/>
    <w:rsid w:val="00E826F2"/>
    <w:rsid w:val="00E83E34"/>
    <w:rsid w:val="00E85AB4"/>
    <w:rsid w:val="00E86E97"/>
    <w:rsid w:val="00E87A31"/>
    <w:rsid w:val="00E969D7"/>
    <w:rsid w:val="00EA05C4"/>
    <w:rsid w:val="00EA0DD8"/>
    <w:rsid w:val="00EA71ED"/>
    <w:rsid w:val="00EB0374"/>
    <w:rsid w:val="00EB69C3"/>
    <w:rsid w:val="00EB6D9F"/>
    <w:rsid w:val="00EC0CB3"/>
    <w:rsid w:val="00EC1240"/>
    <w:rsid w:val="00EC3B45"/>
    <w:rsid w:val="00EE67E3"/>
    <w:rsid w:val="00F04C35"/>
    <w:rsid w:val="00F06869"/>
    <w:rsid w:val="00F06C40"/>
    <w:rsid w:val="00F0791D"/>
    <w:rsid w:val="00F07D38"/>
    <w:rsid w:val="00F116FD"/>
    <w:rsid w:val="00F11F6A"/>
    <w:rsid w:val="00F1273B"/>
    <w:rsid w:val="00F169D7"/>
    <w:rsid w:val="00F20E46"/>
    <w:rsid w:val="00F323CE"/>
    <w:rsid w:val="00F337DA"/>
    <w:rsid w:val="00F41593"/>
    <w:rsid w:val="00F43F23"/>
    <w:rsid w:val="00F44D92"/>
    <w:rsid w:val="00F53C48"/>
    <w:rsid w:val="00F640C5"/>
    <w:rsid w:val="00F649B4"/>
    <w:rsid w:val="00F67760"/>
    <w:rsid w:val="00F73110"/>
    <w:rsid w:val="00F758CA"/>
    <w:rsid w:val="00F76A9D"/>
    <w:rsid w:val="00F80C6A"/>
    <w:rsid w:val="00F83A83"/>
    <w:rsid w:val="00F84742"/>
    <w:rsid w:val="00F854C7"/>
    <w:rsid w:val="00F855C5"/>
    <w:rsid w:val="00F91ED0"/>
    <w:rsid w:val="00F927CD"/>
    <w:rsid w:val="00F93514"/>
    <w:rsid w:val="00FB134F"/>
    <w:rsid w:val="00FB2267"/>
    <w:rsid w:val="00FB55A6"/>
    <w:rsid w:val="00FC28AD"/>
    <w:rsid w:val="00FD3875"/>
    <w:rsid w:val="00FE1F11"/>
    <w:rsid w:val="00FE3D6F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34DA3"/>
  <w15:chartTrackingRefBased/>
  <w15:docId w15:val="{B083C96A-CC0D-4777-963B-D0E61700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2F5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42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2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2F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2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2F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2F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2F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2F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2F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942F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2F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2F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2F5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2F5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2F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2F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2F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2F5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2F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2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2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2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2F57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942F5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2F5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2F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2F5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2F5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5D6242"/>
    <w:pPr>
      <w:tabs>
        <w:tab w:val="center" w:pos="4536"/>
        <w:tab w:val="right" w:pos="9072"/>
      </w:tabs>
      <w:jc w:val="both"/>
    </w:pPr>
    <w:rPr>
      <w:rFonts w:eastAsia="Arial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5D6242"/>
    <w:rPr>
      <w:rFonts w:ascii="Arial" w:eastAsia="Arial" w:hAnsi="Arial"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B73B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3B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3B6F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3B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3B6F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1908ED"/>
    <w:pPr>
      <w:spacing w:after="120" w:line="32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8ED"/>
  </w:style>
  <w:style w:type="paragraph" w:styleId="Zpat">
    <w:name w:val="footer"/>
    <w:basedOn w:val="Normln"/>
    <w:link w:val="ZpatChar"/>
    <w:uiPriority w:val="99"/>
    <w:unhideWhenUsed/>
    <w:rsid w:val="009A09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09AA"/>
    <w:rPr>
      <w:rFonts w:ascii="Arial" w:eastAsia="Times New Roman" w:hAnsi="Arial" w:cs="Times New Roman"/>
      <w:sz w:val="20"/>
      <w:szCs w:val="24"/>
      <w:lang w:eastAsia="cs-CZ"/>
    </w:rPr>
  </w:style>
  <w:style w:type="paragraph" w:styleId="Bezmezer">
    <w:name w:val="No Spacing"/>
    <w:aliases w:val="Bez mezer Respect"/>
    <w:link w:val="BezmezerChar"/>
    <w:uiPriority w:val="1"/>
    <w:qFormat/>
    <w:rsid w:val="004C6C9B"/>
    <w:pPr>
      <w:spacing w:after="0" w:line="298" w:lineRule="auto"/>
    </w:pPr>
    <w:rPr>
      <w:rFonts w:ascii="Arial" w:eastAsia="Arial" w:hAnsi="Arial" w:cs="Times New Roman"/>
      <w:sz w:val="20"/>
    </w:rPr>
  </w:style>
  <w:style w:type="character" w:customStyle="1" w:styleId="BezmezerChar">
    <w:name w:val="Bez mezer Char"/>
    <w:aliases w:val="Bez mezer Respect Char"/>
    <w:link w:val="Bezmezer"/>
    <w:uiPriority w:val="1"/>
    <w:rsid w:val="004C6C9B"/>
    <w:rPr>
      <w:rFonts w:ascii="Arial" w:eastAsia="Arial" w:hAnsi="Arial" w:cs="Times New Roman"/>
      <w:sz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F53C48"/>
    <w:pPr>
      <w:spacing w:before="240" w:after="0" w:line="259" w:lineRule="auto"/>
      <w:outlineLvl w:val="9"/>
    </w:pPr>
    <w:rPr>
      <w:sz w:val="32"/>
      <w:szCs w:val="32"/>
    </w:rPr>
  </w:style>
  <w:style w:type="paragraph" w:customStyle="1" w:styleId="Pa27">
    <w:name w:val="Pa27"/>
    <w:basedOn w:val="Normln"/>
    <w:next w:val="Normln"/>
    <w:uiPriority w:val="99"/>
    <w:rsid w:val="00C806E7"/>
    <w:pPr>
      <w:autoSpaceDE w:val="0"/>
      <w:autoSpaceDN w:val="0"/>
      <w:adjustRightInd w:val="0"/>
      <w:spacing w:line="141" w:lineRule="atLeast"/>
    </w:pPr>
    <w:rPr>
      <w:rFonts w:ascii="Times New Roman" w:eastAsiaTheme="minorHAnsi" w:hAnsi="Times New Roman"/>
      <w:sz w:val="24"/>
      <w:lang w:eastAsia="en-US"/>
    </w:rPr>
  </w:style>
  <w:style w:type="paragraph" w:customStyle="1" w:styleId="Default">
    <w:name w:val="Default"/>
    <w:rsid w:val="0071288E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D39A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D39A3"/>
    <w:rPr>
      <w:color w:val="605E5C"/>
      <w:shd w:val="clear" w:color="auto" w:fill="E1DFDD"/>
    </w:rPr>
  </w:style>
  <w:style w:type="character" w:customStyle="1" w:styleId="A11">
    <w:name w:val="A11"/>
    <w:uiPriority w:val="99"/>
    <w:rsid w:val="006255B4"/>
    <w:rPr>
      <w:rFonts w:cs="HelveticaNeueLT Pro 45 L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spector.bizmachine.com/cz/company/65639600" TargetMode="External"/><Relationship Id="rId13" Type="http://schemas.openxmlformats.org/officeDocument/2006/relationships/hyperlink" Target="https://www.bilina.cz/redakce/index.php?lanG=cs&amp;clanek=182650&amp;slozka=181547&amp;xsekce=182650&amp;as4uOriginalDomain=www.bilina.cz&amp;as4u_protocol=https&amp;_gid=GA1.2.1596438854.1753799989&amp;ConfirmCookie=yes&amp;detaildb=8972&amp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ilina.cz/redakce/index.php?lanG=cs&amp;clanek=182650&amp;slozka=181547&amp;xsekce=182650&amp;as4uOriginalDomain=www.bilina.cz&amp;as4u_protocol=https&amp;_gid=GA1.2.1596438854.1753799989&amp;ConfirmCookie=yes&amp;detaildb=8970&amp;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lina.cz/redakce/index.php?lanG=cs&amp;clanek=182650&amp;slozka=181547&amp;xsekce=182650&amp;as4uOriginalDomain=www.bilina.cz&amp;as4u_protocol=https&amp;_gid=GA1.2.1596438854.1753799989&amp;ConfirmCookie=yes&amp;detaildb=8969&amp;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bilina.cz/redakce/index.php?lanG=cs&amp;clanek=182650&amp;slozka=181547&amp;xsekce=182650&amp;as4uOriginalDomain=www.bilina.cz&amp;as4u_protocol=https&amp;_gid=GA1.2.1596438854.1753799989&amp;ConfirmCookie=yes&amp;detaildb=8968&amp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lina.cz/redakce/index.php?lanG=cs&amp;clanek=182650&amp;slozka=181547&amp;xsekce=182650&amp;as4uOriginalDomain=www.bilina.cz&amp;as4u_protocol=https&amp;_gid=GA1.2.1596438854.1753799989&amp;ConfirmCookie=yes&amp;detaildb=8964&amp;" TargetMode="External"/><Relationship Id="rId14" Type="http://schemas.openxmlformats.org/officeDocument/2006/relationships/hyperlink" Target="https://www.bilina.cz/redakce/index.php?lanG=cs&amp;clanek=182650&amp;slozka=181547&amp;xsekce=182650&amp;as4uOriginalDomain=www.bilina.cz&amp;as4u_protocol=https&amp;_gid=GA1.2.1596438854.1753799989&amp;ConfirmCookie=yes&amp;detaildb=8973&amp;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6BD73-0A4E-4904-BA7F-B2C978F78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3981</Words>
  <Characters>23489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Vršková Michaela Ing.</dc:creator>
  <cp:keywords/>
  <dc:description/>
  <cp:lastModifiedBy>Vršková Michaela Ing.</cp:lastModifiedBy>
  <cp:revision>2</cp:revision>
  <dcterms:created xsi:type="dcterms:W3CDTF">2025-09-18T10:51:00Z</dcterms:created>
  <dcterms:modified xsi:type="dcterms:W3CDTF">2025-09-18T10:51:00Z</dcterms:modified>
</cp:coreProperties>
</file>