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24D7A918" w:rsidR="00361412" w:rsidRPr="00904DEB" w:rsidRDefault="00361412" w:rsidP="00361412">
      <w:pPr>
        <w:spacing w:after="0"/>
        <w:jc w:val="center"/>
        <w:rPr>
          <w:rFonts w:ascii="Times New Roman" w:eastAsia="MS Mincho" w:hAnsi="Times New Roman" w:cs="Times New Roman"/>
          <w:b/>
          <w:sz w:val="24"/>
          <w:szCs w:val="24"/>
          <w:lang w:eastAsia="cs-CZ"/>
        </w:rPr>
      </w:pPr>
      <w:r w:rsidRPr="00904DEB">
        <w:rPr>
          <w:rFonts w:ascii="Times New Roman" w:eastAsia="MS Mincho" w:hAnsi="Times New Roman" w:cs="Times New Roman"/>
          <w:b/>
          <w:sz w:val="24"/>
          <w:szCs w:val="24"/>
          <w:lang w:eastAsia="cs-CZ"/>
        </w:rPr>
        <w:t>„</w:t>
      </w:r>
      <w:r w:rsidR="00F87899" w:rsidRPr="00F87899">
        <w:rPr>
          <w:rFonts w:ascii="Times New Roman" w:hAnsi="Times New Roman" w:cs="Times New Roman"/>
          <w:b/>
          <w:snapToGrid w:val="0"/>
          <w:sz w:val="24"/>
          <w:szCs w:val="24"/>
        </w:rPr>
        <w:t xml:space="preserve">Rekonstrukce ambulancí rehabilitace </w:t>
      </w:r>
      <w:proofErr w:type="spellStart"/>
      <w:r w:rsidR="00F87899" w:rsidRPr="00F87899">
        <w:rPr>
          <w:rFonts w:ascii="Times New Roman" w:hAnsi="Times New Roman" w:cs="Times New Roman"/>
          <w:b/>
          <w:snapToGrid w:val="0"/>
          <w:sz w:val="24"/>
          <w:szCs w:val="24"/>
        </w:rPr>
        <w:t>HNsP</w:t>
      </w:r>
      <w:proofErr w:type="spellEnd"/>
      <w:r w:rsidR="00F87899" w:rsidRPr="00F87899">
        <w:rPr>
          <w:rFonts w:ascii="Times New Roman" w:hAnsi="Times New Roman" w:cs="Times New Roman"/>
          <w:b/>
          <w:snapToGrid w:val="0"/>
          <w:sz w:val="24"/>
          <w:szCs w:val="24"/>
        </w:rPr>
        <w:t xml:space="preserve"> Bílina – </w:t>
      </w:r>
      <w:r w:rsidR="0013169A">
        <w:rPr>
          <w:rFonts w:ascii="Times New Roman" w:hAnsi="Times New Roman" w:cs="Times New Roman"/>
          <w:b/>
          <w:snapToGrid w:val="0"/>
          <w:sz w:val="24"/>
          <w:szCs w:val="24"/>
        </w:rPr>
        <w:t>S</w:t>
      </w:r>
      <w:r w:rsidR="00F87899" w:rsidRPr="00F87899">
        <w:rPr>
          <w:rFonts w:ascii="Times New Roman" w:hAnsi="Times New Roman" w:cs="Times New Roman"/>
          <w:b/>
          <w:snapToGrid w:val="0"/>
          <w:sz w:val="24"/>
          <w:szCs w:val="24"/>
        </w:rPr>
        <w:t>tavební práce</w:t>
      </w:r>
      <w:r w:rsidR="0013169A">
        <w:rPr>
          <w:rFonts w:ascii="Times New Roman" w:hAnsi="Times New Roman" w:cs="Times New Roman"/>
          <w:b/>
          <w:snapToGrid w:val="0"/>
          <w:sz w:val="24"/>
          <w:szCs w:val="24"/>
        </w:rPr>
        <w:t xml:space="preserve"> II.</w:t>
      </w:r>
      <w:r w:rsidRPr="00904DEB">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2442" w14:textId="77777777" w:rsidR="004E2530" w:rsidRDefault="004E2530" w:rsidP="00A34C8C">
      <w:pPr>
        <w:spacing w:after="0"/>
      </w:pPr>
      <w:r>
        <w:separator/>
      </w:r>
    </w:p>
  </w:endnote>
  <w:endnote w:type="continuationSeparator" w:id="0">
    <w:p w14:paraId="4967E105" w14:textId="77777777" w:rsidR="004E2530" w:rsidRDefault="004E2530"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F1CC" w14:textId="77777777" w:rsidR="004E2530" w:rsidRDefault="004E2530" w:rsidP="00A34C8C">
      <w:pPr>
        <w:spacing w:after="0"/>
      </w:pPr>
      <w:r>
        <w:separator/>
      </w:r>
    </w:p>
  </w:footnote>
  <w:footnote w:type="continuationSeparator" w:id="0">
    <w:p w14:paraId="0A4132D8" w14:textId="77777777" w:rsidR="004E2530" w:rsidRDefault="004E2530"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16F68858"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E16065">
      <w:rPr>
        <w:rFonts w:ascii="Times New Roman" w:eastAsia="Times New Roman" w:hAnsi="Times New Roman" w:cs="Times New Roman"/>
        <w:b/>
        <w:bCs/>
        <w:color w:val="1D46AB"/>
        <w:sz w:val="28"/>
        <w:lang w:eastAsia="cs-CZ"/>
      </w:rPr>
      <w:t>8</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4886819">
    <w:abstractNumId w:val="3"/>
  </w:num>
  <w:num w:numId="2" w16cid:durableId="527572149">
    <w:abstractNumId w:val="4"/>
  </w:num>
  <w:num w:numId="3" w16cid:durableId="1929071333">
    <w:abstractNumId w:val="4"/>
  </w:num>
  <w:num w:numId="4" w16cid:durableId="2028021210">
    <w:abstractNumId w:val="2"/>
  </w:num>
  <w:num w:numId="5" w16cid:durableId="1345086865">
    <w:abstractNumId w:val="0"/>
  </w:num>
  <w:num w:numId="6" w16cid:durableId="147379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825DC"/>
    <w:rsid w:val="000C59E8"/>
    <w:rsid w:val="000C5F1E"/>
    <w:rsid w:val="000E38A2"/>
    <w:rsid w:val="00111D0C"/>
    <w:rsid w:val="0013169A"/>
    <w:rsid w:val="001319A2"/>
    <w:rsid w:val="0013614A"/>
    <w:rsid w:val="00191C96"/>
    <w:rsid w:val="001E0CF6"/>
    <w:rsid w:val="001E4E76"/>
    <w:rsid w:val="001E5339"/>
    <w:rsid w:val="00200808"/>
    <w:rsid w:val="00221988"/>
    <w:rsid w:val="002435E7"/>
    <w:rsid w:val="002950F5"/>
    <w:rsid w:val="00297F83"/>
    <w:rsid w:val="002B019C"/>
    <w:rsid w:val="002B05D2"/>
    <w:rsid w:val="002B474A"/>
    <w:rsid w:val="002C6632"/>
    <w:rsid w:val="002D36D1"/>
    <w:rsid w:val="002D542C"/>
    <w:rsid w:val="002E5FF3"/>
    <w:rsid w:val="002E64F9"/>
    <w:rsid w:val="002E6531"/>
    <w:rsid w:val="002F344B"/>
    <w:rsid w:val="002F4205"/>
    <w:rsid w:val="00310288"/>
    <w:rsid w:val="00361412"/>
    <w:rsid w:val="0039245F"/>
    <w:rsid w:val="00397362"/>
    <w:rsid w:val="003D7DF6"/>
    <w:rsid w:val="003F532C"/>
    <w:rsid w:val="004A6D28"/>
    <w:rsid w:val="004C168B"/>
    <w:rsid w:val="004C388B"/>
    <w:rsid w:val="004E2530"/>
    <w:rsid w:val="00521ECF"/>
    <w:rsid w:val="00533CDC"/>
    <w:rsid w:val="0055086B"/>
    <w:rsid w:val="00571141"/>
    <w:rsid w:val="00571273"/>
    <w:rsid w:val="0057580D"/>
    <w:rsid w:val="005A4F51"/>
    <w:rsid w:val="005B0AC4"/>
    <w:rsid w:val="005C0534"/>
    <w:rsid w:val="006259CB"/>
    <w:rsid w:val="00662402"/>
    <w:rsid w:val="006839DF"/>
    <w:rsid w:val="0069664F"/>
    <w:rsid w:val="006D40D3"/>
    <w:rsid w:val="006F45BD"/>
    <w:rsid w:val="006F5A1F"/>
    <w:rsid w:val="0070621B"/>
    <w:rsid w:val="00740EB9"/>
    <w:rsid w:val="007517C4"/>
    <w:rsid w:val="00770A88"/>
    <w:rsid w:val="00787705"/>
    <w:rsid w:val="00791347"/>
    <w:rsid w:val="007E1BB0"/>
    <w:rsid w:val="00813F68"/>
    <w:rsid w:val="008150D7"/>
    <w:rsid w:val="0084154C"/>
    <w:rsid w:val="008821AF"/>
    <w:rsid w:val="008B6D65"/>
    <w:rsid w:val="008C0FD1"/>
    <w:rsid w:val="008F2E95"/>
    <w:rsid w:val="008F56EA"/>
    <w:rsid w:val="00904DEB"/>
    <w:rsid w:val="00916C50"/>
    <w:rsid w:val="009F502C"/>
    <w:rsid w:val="00A240CA"/>
    <w:rsid w:val="00A26D72"/>
    <w:rsid w:val="00A339DE"/>
    <w:rsid w:val="00A34C8C"/>
    <w:rsid w:val="00AC57F1"/>
    <w:rsid w:val="00AD5525"/>
    <w:rsid w:val="00B02D88"/>
    <w:rsid w:val="00B03F30"/>
    <w:rsid w:val="00B050E3"/>
    <w:rsid w:val="00B25AEC"/>
    <w:rsid w:val="00B6760C"/>
    <w:rsid w:val="00BA3194"/>
    <w:rsid w:val="00C063A3"/>
    <w:rsid w:val="00C07858"/>
    <w:rsid w:val="00C25ADC"/>
    <w:rsid w:val="00C462B1"/>
    <w:rsid w:val="00C62136"/>
    <w:rsid w:val="00C66C6C"/>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16065"/>
    <w:rsid w:val="00E2311B"/>
    <w:rsid w:val="00E25422"/>
    <w:rsid w:val="00E26977"/>
    <w:rsid w:val="00E4137C"/>
    <w:rsid w:val="00E72657"/>
    <w:rsid w:val="00EA0446"/>
    <w:rsid w:val="00EC4D58"/>
    <w:rsid w:val="00F00510"/>
    <w:rsid w:val="00F24D7F"/>
    <w:rsid w:val="00F57CF0"/>
    <w:rsid w:val="00F87899"/>
    <w:rsid w:val="00FB5CB7"/>
    <w:rsid w:val="00FD2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 w:type="paragraph" w:styleId="Revize">
    <w:name w:val="Revision"/>
    <w:hidden/>
    <w:uiPriority w:val="99"/>
    <w:semiHidden/>
    <w:rsid w:val="004A6D2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3470</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2026-01-22T21:06:00Z</dcterms:created>
  <dcterms:modified xsi:type="dcterms:W3CDTF">2026-03-17T19:38:00Z</dcterms:modified>
</cp:coreProperties>
</file>