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D95173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95173">
        <w:rPr>
          <w:rFonts w:ascii="Arial" w:eastAsia="Times New Roman" w:hAnsi="Arial" w:cs="Arial"/>
          <w:b/>
          <w:sz w:val="28"/>
          <w:szCs w:val="28"/>
          <w:lang w:eastAsia="cs-CZ"/>
        </w:rPr>
        <w:t>Čestné</w:t>
      </w:r>
      <w:r w:rsidR="00732B7D" w:rsidRPr="00D9517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1F9A8782" w:rsidR="00094951" w:rsidRPr="00C01803" w:rsidRDefault="00FD154F" w:rsidP="00732B7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D15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 a instalace 3 ks myček podložních mís do objektu Hornické nemocnice s poliklinikou, Bílina</w:t>
            </w:r>
            <w:r w:rsidR="0008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II.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29FFAC73" w:rsidR="00094951" w:rsidRPr="007E3BC1" w:rsidRDefault="00FD154F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D15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P25V00000</w:t>
            </w:r>
            <w:r w:rsidR="00086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142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1991FCC0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ruským státním příslušníkem, fyzickou či právnickou osobou nebo subjektem či orgánem se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právnickou osobou, subjektem nebo orgánem, který je z více než 50 % přímo či nepřímo vlastněn některým ze subjektů uvedeným v písm. a) tohoto bodu, nebo</w:t>
      </w:r>
    </w:p>
    <w:p w14:paraId="17732DD1" w14:textId="77777777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fyzickou či právnickou osobou, subjektem nebo orgánem, který jedná jménem nebo na pokyn některého ze subjektů uvedeným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109A0D06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á, nebo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v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Content>
          <w:r w:rsidR="00051134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051134">
        <w:rPr>
          <w:rFonts w:ascii="Arial" w:eastAsia="Times New Roman" w:hAnsi="Arial" w:cs="Arial"/>
          <w:sz w:val="20"/>
          <w:lang w:eastAsia="cs-CZ"/>
        </w:rPr>
        <w:t xml:space="preserve"> 500 000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8D7F7B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. V případě, že bude provádět veřejnou zakázku pouze vlastními kapacitami</w:t>
      </w:r>
      <w:r w:rsidR="0085688B">
        <w:rPr>
          <w:rFonts w:ascii="Arial" w:eastAsia="Times New Roman" w:hAnsi="Arial" w:cs="Arial"/>
          <w:sz w:val="20"/>
          <w:szCs w:val="20"/>
          <w:lang w:eastAsia="cs-CZ"/>
        </w:rPr>
        <w:t xml:space="preserve">, tabulku proškrtne. </w:t>
      </w:r>
      <w:r w:rsidR="00FD5BD5" w:rsidRPr="008D7F7B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7D5A21F1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r w:rsidR="00051134">
        <w:rPr>
          <w:rFonts w:ascii="Arial" w:eastAsia="Times New Roman" w:hAnsi="Arial" w:cs="Arial"/>
          <w:b/>
          <w:sz w:val="20"/>
          <w:szCs w:val="20"/>
          <w:lang w:eastAsia="cs-CZ"/>
        </w:rPr>
        <w:t>4</w:t>
      </w:r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00F246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 ochrany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697F7E0A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uhrazení poddodavatelem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p w14:paraId="5865CA81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16986B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E22DBF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01A8F0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BAF401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2F9BA9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737F4D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E7B62B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445994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2D40F5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21C7B4" w14:textId="77777777" w:rsidR="00A21713" w:rsidRPr="00CC4150" w:rsidRDefault="00A21713" w:rsidP="00A21713">
      <w:pPr>
        <w:spacing w:line="480" w:lineRule="auto"/>
        <w:rPr>
          <w:rFonts w:ascii="Arial" w:hAnsi="Arial" w:cs="Arial"/>
          <w:i/>
          <w:szCs w:val="20"/>
        </w:rPr>
      </w:pPr>
    </w:p>
    <w:p w14:paraId="3EF70FEB" w14:textId="77777777" w:rsidR="002B6B95" w:rsidRPr="00CC4150" w:rsidRDefault="002B6B95" w:rsidP="002B6B95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72A87CF" w14:textId="77777777" w:rsidR="002B6B95" w:rsidRPr="00CC4150" w:rsidRDefault="002B6B95" w:rsidP="002B6B95">
      <w:pPr>
        <w:spacing w:after="0" w:line="240" w:lineRule="auto"/>
        <w:ind w:left="1134" w:hanging="12"/>
        <w:jc w:val="both"/>
        <w:rPr>
          <w:rFonts w:ascii="Arial" w:eastAsia="Times New Roman" w:hAnsi="Arial" w:cs="Arial"/>
          <w:sz w:val="20"/>
          <w:lang w:eastAsia="cs-CZ"/>
        </w:rPr>
      </w:pPr>
    </w:p>
    <w:p w14:paraId="25A8D715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501406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1D0A63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245A7F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B08E94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5AB8CD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70862F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D8A0A1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96F52B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481A56" w14:textId="77777777" w:rsidR="007069ED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27130E" w14:textId="77777777" w:rsidR="007069ED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12FAAB" w14:textId="77777777" w:rsidR="007069ED" w:rsidRPr="00833CAF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069ED" w:rsidRPr="00833CAF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5EC1" w14:textId="77777777" w:rsidR="00AE2184" w:rsidRDefault="00AE2184">
      <w:pPr>
        <w:spacing w:after="0" w:line="240" w:lineRule="auto"/>
      </w:pPr>
      <w:r>
        <w:separator/>
      </w:r>
    </w:p>
  </w:endnote>
  <w:endnote w:type="continuationSeparator" w:id="0">
    <w:p w14:paraId="126DA985" w14:textId="77777777" w:rsidR="00AE2184" w:rsidRDefault="00AE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6665" w14:textId="7777777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D801F6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D801F6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F219" w14:textId="77777777" w:rsidR="00AE2184" w:rsidRDefault="00AE2184">
      <w:pPr>
        <w:spacing w:after="0" w:line="240" w:lineRule="auto"/>
      </w:pPr>
      <w:r>
        <w:separator/>
      </w:r>
    </w:p>
  </w:footnote>
  <w:footnote w:type="continuationSeparator" w:id="0">
    <w:p w14:paraId="5FBD6574" w14:textId="77777777" w:rsidR="00AE2184" w:rsidRDefault="00AE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322777100">
    <w:abstractNumId w:val="14"/>
  </w:num>
  <w:num w:numId="2" w16cid:durableId="1155220643">
    <w:abstractNumId w:val="7"/>
  </w:num>
  <w:num w:numId="3" w16cid:durableId="635110855">
    <w:abstractNumId w:val="0"/>
  </w:num>
  <w:num w:numId="4" w16cid:durableId="328751454">
    <w:abstractNumId w:val="15"/>
  </w:num>
  <w:num w:numId="5" w16cid:durableId="1434935086">
    <w:abstractNumId w:val="29"/>
  </w:num>
  <w:num w:numId="6" w16cid:durableId="1543593042">
    <w:abstractNumId w:val="28"/>
  </w:num>
  <w:num w:numId="7" w16cid:durableId="54863640">
    <w:abstractNumId w:val="4"/>
  </w:num>
  <w:num w:numId="8" w16cid:durableId="434058933">
    <w:abstractNumId w:val="21"/>
  </w:num>
  <w:num w:numId="9" w16cid:durableId="920406623">
    <w:abstractNumId w:val="10"/>
  </w:num>
  <w:num w:numId="10" w16cid:durableId="1714571581">
    <w:abstractNumId w:val="22"/>
  </w:num>
  <w:num w:numId="11" w16cid:durableId="2102334556">
    <w:abstractNumId w:val="2"/>
  </w:num>
  <w:num w:numId="12" w16cid:durableId="1658878873">
    <w:abstractNumId w:val="26"/>
  </w:num>
  <w:num w:numId="13" w16cid:durableId="246693012">
    <w:abstractNumId w:val="33"/>
  </w:num>
  <w:num w:numId="14" w16cid:durableId="1524125050">
    <w:abstractNumId w:val="19"/>
  </w:num>
  <w:num w:numId="15" w16cid:durableId="298000167">
    <w:abstractNumId w:val="9"/>
  </w:num>
  <w:num w:numId="16" w16cid:durableId="1813332493">
    <w:abstractNumId w:val="25"/>
  </w:num>
  <w:num w:numId="17" w16cid:durableId="825627643">
    <w:abstractNumId w:val="31"/>
  </w:num>
  <w:num w:numId="18" w16cid:durableId="1693415608">
    <w:abstractNumId w:val="35"/>
  </w:num>
  <w:num w:numId="19" w16cid:durableId="1856574648">
    <w:abstractNumId w:val="8"/>
  </w:num>
  <w:num w:numId="20" w16cid:durableId="1538272801">
    <w:abstractNumId w:val="23"/>
  </w:num>
  <w:num w:numId="21" w16cid:durableId="1769504515">
    <w:abstractNumId w:val="17"/>
  </w:num>
  <w:num w:numId="22" w16cid:durableId="534579751">
    <w:abstractNumId w:val="11"/>
  </w:num>
  <w:num w:numId="23" w16cid:durableId="188883843">
    <w:abstractNumId w:val="12"/>
  </w:num>
  <w:num w:numId="24" w16cid:durableId="1361592183">
    <w:abstractNumId w:val="1"/>
  </w:num>
  <w:num w:numId="25" w16cid:durableId="624309726">
    <w:abstractNumId w:val="32"/>
  </w:num>
  <w:num w:numId="26" w16cid:durableId="257834726">
    <w:abstractNumId w:val="13"/>
  </w:num>
  <w:num w:numId="27" w16cid:durableId="1213690473">
    <w:abstractNumId w:val="30"/>
  </w:num>
  <w:num w:numId="28" w16cid:durableId="1258096410">
    <w:abstractNumId w:val="5"/>
  </w:num>
  <w:num w:numId="29" w16cid:durableId="1042940894">
    <w:abstractNumId w:val="20"/>
  </w:num>
  <w:num w:numId="30" w16cid:durableId="36125332">
    <w:abstractNumId w:val="3"/>
  </w:num>
  <w:num w:numId="31" w16cid:durableId="1887836580">
    <w:abstractNumId w:val="18"/>
  </w:num>
  <w:num w:numId="32" w16cid:durableId="1231044278">
    <w:abstractNumId w:val="24"/>
  </w:num>
  <w:num w:numId="33" w16cid:durableId="41443369">
    <w:abstractNumId w:val="27"/>
  </w:num>
  <w:num w:numId="34" w16cid:durableId="1877423574">
    <w:abstractNumId w:val="6"/>
  </w:num>
  <w:num w:numId="35" w16cid:durableId="1800220243">
    <w:abstractNumId w:val="16"/>
  </w:num>
  <w:num w:numId="36" w16cid:durableId="568239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452CF"/>
    <w:rsid w:val="00051134"/>
    <w:rsid w:val="00054B5A"/>
    <w:rsid w:val="000865FF"/>
    <w:rsid w:val="00094951"/>
    <w:rsid w:val="000B5CC3"/>
    <w:rsid w:val="001039B8"/>
    <w:rsid w:val="001A393B"/>
    <w:rsid w:val="001E30E4"/>
    <w:rsid w:val="001E7D88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91555"/>
    <w:rsid w:val="003A675B"/>
    <w:rsid w:val="003B4416"/>
    <w:rsid w:val="00423372"/>
    <w:rsid w:val="004316A2"/>
    <w:rsid w:val="00434225"/>
    <w:rsid w:val="00445091"/>
    <w:rsid w:val="004468BC"/>
    <w:rsid w:val="0045018F"/>
    <w:rsid w:val="00464009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D3E0F"/>
    <w:rsid w:val="005E32B0"/>
    <w:rsid w:val="00613C84"/>
    <w:rsid w:val="00620BF2"/>
    <w:rsid w:val="006A2E74"/>
    <w:rsid w:val="007069ED"/>
    <w:rsid w:val="0073080A"/>
    <w:rsid w:val="0073253D"/>
    <w:rsid w:val="00732B7D"/>
    <w:rsid w:val="00772368"/>
    <w:rsid w:val="00780266"/>
    <w:rsid w:val="00793A9B"/>
    <w:rsid w:val="007D38C2"/>
    <w:rsid w:val="007E3BC1"/>
    <w:rsid w:val="007E5BE0"/>
    <w:rsid w:val="008119C5"/>
    <w:rsid w:val="00837E24"/>
    <w:rsid w:val="0085688B"/>
    <w:rsid w:val="008956FD"/>
    <w:rsid w:val="008A372C"/>
    <w:rsid w:val="008D5D93"/>
    <w:rsid w:val="008D7F7B"/>
    <w:rsid w:val="008E4CDF"/>
    <w:rsid w:val="008F42D6"/>
    <w:rsid w:val="0093585C"/>
    <w:rsid w:val="009620DA"/>
    <w:rsid w:val="00A21713"/>
    <w:rsid w:val="00A269FA"/>
    <w:rsid w:val="00A4594B"/>
    <w:rsid w:val="00A90298"/>
    <w:rsid w:val="00A94881"/>
    <w:rsid w:val="00AB6A44"/>
    <w:rsid w:val="00AE2184"/>
    <w:rsid w:val="00AF0A93"/>
    <w:rsid w:val="00B1411D"/>
    <w:rsid w:val="00B2417E"/>
    <w:rsid w:val="00B520C2"/>
    <w:rsid w:val="00B71C1A"/>
    <w:rsid w:val="00B7364C"/>
    <w:rsid w:val="00B812B1"/>
    <w:rsid w:val="00C01803"/>
    <w:rsid w:val="00C01B05"/>
    <w:rsid w:val="00C42C42"/>
    <w:rsid w:val="00C431D5"/>
    <w:rsid w:val="00C527DA"/>
    <w:rsid w:val="00CB342B"/>
    <w:rsid w:val="00CB5C89"/>
    <w:rsid w:val="00CC4150"/>
    <w:rsid w:val="00CF217F"/>
    <w:rsid w:val="00D46684"/>
    <w:rsid w:val="00D65212"/>
    <w:rsid w:val="00D801F6"/>
    <w:rsid w:val="00D95173"/>
    <w:rsid w:val="00DB5EE8"/>
    <w:rsid w:val="00DE5A2D"/>
    <w:rsid w:val="00DF17CC"/>
    <w:rsid w:val="00E12488"/>
    <w:rsid w:val="00E409E8"/>
    <w:rsid w:val="00E5534E"/>
    <w:rsid w:val="00E570F7"/>
    <w:rsid w:val="00E81A79"/>
    <w:rsid w:val="00F20283"/>
    <w:rsid w:val="00F35AA0"/>
    <w:rsid w:val="00F37B72"/>
    <w:rsid w:val="00F4118D"/>
    <w:rsid w:val="00F757AB"/>
    <w:rsid w:val="00FA2145"/>
    <w:rsid w:val="00FC43A3"/>
    <w:rsid w:val="00FD154F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087731"/>
    <w:rsid w:val="002541B6"/>
    <w:rsid w:val="003A675B"/>
    <w:rsid w:val="005D3E0F"/>
    <w:rsid w:val="005D476B"/>
    <w:rsid w:val="00620BF2"/>
    <w:rsid w:val="008102F8"/>
    <w:rsid w:val="00AC64D2"/>
    <w:rsid w:val="00C527DA"/>
    <w:rsid w:val="00E4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Radek Bečvařík</cp:lastModifiedBy>
  <cp:revision>2</cp:revision>
  <cp:lastPrinted>2023-05-15T12:49:00Z</cp:lastPrinted>
  <dcterms:created xsi:type="dcterms:W3CDTF">2025-08-11T11:41:00Z</dcterms:created>
  <dcterms:modified xsi:type="dcterms:W3CDTF">2025-08-11T11:41:00Z</dcterms:modified>
</cp:coreProperties>
</file>